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12" w:rsidRPr="00A8668E" w:rsidRDefault="00126F12" w:rsidP="008C31FB">
      <w:pPr>
        <w:spacing w:after="0"/>
        <w:jc w:val="center"/>
        <w:rPr>
          <w:rStyle w:val="s0"/>
          <w:sz w:val="22"/>
          <w:szCs w:val="22"/>
          <w:lang w:val="kk-KZ"/>
        </w:rPr>
      </w:pPr>
      <w:r w:rsidRPr="00A8668E">
        <w:rPr>
          <w:rStyle w:val="s0"/>
          <w:sz w:val="22"/>
          <w:szCs w:val="22"/>
          <w:lang w:val="kk-KZ"/>
        </w:rPr>
        <w:t>«АЖК» АҚ-ның ғаламтор-ресурсында және бұқаралық ақпарат құралдарындағы негіздеулермен</w:t>
      </w:r>
    </w:p>
    <w:p w:rsidR="00126F12" w:rsidRPr="00A8668E" w:rsidRDefault="00126F12" w:rsidP="00236204">
      <w:pPr>
        <w:spacing w:after="0"/>
        <w:jc w:val="center"/>
        <w:rPr>
          <w:rStyle w:val="s0"/>
          <w:b/>
          <w:sz w:val="22"/>
          <w:szCs w:val="22"/>
          <w:lang w:val="kk-KZ"/>
        </w:rPr>
      </w:pPr>
      <w:r w:rsidRPr="00A8668E">
        <w:rPr>
          <w:rStyle w:val="s0"/>
          <w:b/>
          <w:sz w:val="22"/>
          <w:szCs w:val="22"/>
          <w:lang w:val="kk-KZ"/>
        </w:rPr>
        <w:t xml:space="preserve">2016 жылғы электр энергиясын жеткізу және бөлу қызметін көрсету </w:t>
      </w:r>
      <w:r w:rsidR="007950D6" w:rsidRPr="00A8668E">
        <w:rPr>
          <w:rStyle w:val="s0"/>
          <w:b/>
          <w:sz w:val="22"/>
          <w:szCs w:val="22"/>
          <w:lang w:val="kk-KZ"/>
        </w:rPr>
        <w:t>әрек</w:t>
      </w:r>
      <w:r w:rsidRPr="00A8668E">
        <w:rPr>
          <w:rStyle w:val="s0"/>
          <w:b/>
          <w:sz w:val="22"/>
          <w:szCs w:val="22"/>
          <w:lang w:val="kk-KZ"/>
        </w:rPr>
        <w:t>еті туралы</w:t>
      </w:r>
    </w:p>
    <w:p w:rsidR="00C73D35" w:rsidRPr="00A8668E" w:rsidRDefault="00126F12" w:rsidP="00126F12">
      <w:pPr>
        <w:spacing w:after="0"/>
        <w:jc w:val="center"/>
        <w:rPr>
          <w:rStyle w:val="s0"/>
          <w:sz w:val="22"/>
          <w:szCs w:val="22"/>
          <w:lang w:val="kk-KZ"/>
        </w:rPr>
      </w:pPr>
      <w:r w:rsidRPr="00A8668E">
        <w:rPr>
          <w:rStyle w:val="s0"/>
          <w:b/>
          <w:sz w:val="22"/>
          <w:szCs w:val="22"/>
          <w:lang w:val="kk-KZ"/>
        </w:rPr>
        <w:t xml:space="preserve">жыл сайынғы есеп </w:t>
      </w:r>
    </w:p>
    <w:p w:rsidR="00126F12" w:rsidRPr="00A8668E" w:rsidRDefault="008C31FB" w:rsidP="00126F12">
      <w:pPr>
        <w:pStyle w:val="1"/>
        <w:rPr>
          <w:b w:val="0"/>
          <w:i/>
          <w:sz w:val="20"/>
          <w:szCs w:val="20"/>
          <w:lang w:val="kk-KZ"/>
        </w:rPr>
      </w:pPr>
      <w:r w:rsidRPr="00A8668E">
        <w:rPr>
          <w:b w:val="0"/>
          <w:i/>
          <w:sz w:val="20"/>
          <w:szCs w:val="20"/>
          <w:lang w:val="kk-KZ"/>
        </w:rPr>
        <w:t>(</w:t>
      </w:r>
      <w:r w:rsidR="00126F12" w:rsidRPr="00A8668E">
        <w:rPr>
          <w:b w:val="0"/>
          <w:i/>
          <w:sz w:val="20"/>
          <w:szCs w:val="20"/>
          <w:lang w:val="kk-KZ"/>
        </w:rPr>
        <w:t>«Тұтынушыларға және өзге де мүдделі тұлғаларға реттеліп көрсетілетін қызметтерді (тауарларды, жұмыстарды) ұсыну жөніндегі табиғи монополия субъектісінің қызметі туралы жыл сайынғы есепті өткізу қағидаларын бекіту туралы» ҚР ҰЭМ-нің 2014 жылғы 18 желтоқсандағы №150 бұйрығының 21-т. сай).</w:t>
      </w:r>
    </w:p>
    <w:p w:rsidR="00433280" w:rsidRPr="00A8668E" w:rsidRDefault="00433280" w:rsidP="00FE0B34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A8668E">
        <w:rPr>
          <w:rFonts w:ascii="Times New Roman" w:hAnsi="Times New Roman" w:cs="Times New Roman"/>
          <w:b/>
        </w:rPr>
        <w:t>2016</w:t>
      </w:r>
      <w:r w:rsidR="00126F12" w:rsidRPr="00A8668E">
        <w:rPr>
          <w:rFonts w:ascii="Times New Roman" w:hAnsi="Times New Roman" w:cs="Times New Roman"/>
          <w:b/>
          <w:lang w:val="kk-KZ"/>
        </w:rPr>
        <w:t xml:space="preserve"> жылғы бекітілген Тарифтік сметаның орындалуы</w:t>
      </w:r>
    </w:p>
    <w:p w:rsidR="00B605E5" w:rsidRPr="00A8668E" w:rsidRDefault="00B605E5" w:rsidP="009C24B0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539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5"/>
        <w:gridCol w:w="3927"/>
        <w:gridCol w:w="1028"/>
        <w:gridCol w:w="16"/>
        <w:gridCol w:w="1828"/>
        <w:gridCol w:w="1684"/>
        <w:gridCol w:w="856"/>
        <w:gridCol w:w="5476"/>
      </w:tblGrid>
      <w:tr w:rsidR="007458ED" w:rsidRPr="00A8668E" w:rsidTr="00D807BB">
        <w:trPr>
          <w:trHeight w:val="180"/>
        </w:trPr>
        <w:tc>
          <w:tcPr>
            <w:tcW w:w="575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126F12" w:rsidP="00126F12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№ </w:t>
            </w: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р</w:t>
            </w:r>
            <w:r w:rsidR="00B605E5"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/</w:t>
            </w: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с</w:t>
            </w:r>
          </w:p>
        </w:tc>
        <w:tc>
          <w:tcPr>
            <w:tcW w:w="3927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126F12" w:rsidP="00126F12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Көрсеткіштер атауы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D02124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3512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D02124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2016</w:t>
            </w:r>
            <w:r w:rsidR="00D02124"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ж</w:t>
            </w: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D02124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ауытқу</w:t>
            </w:r>
          </w:p>
        </w:tc>
        <w:tc>
          <w:tcPr>
            <w:tcW w:w="5476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D02124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Ауытқулар себебі</w:t>
            </w:r>
          </w:p>
        </w:tc>
      </w:tr>
      <w:tr w:rsidR="007458ED" w:rsidRPr="00A8668E" w:rsidTr="00D807BB">
        <w:trPr>
          <w:trHeight w:val="180"/>
        </w:trPr>
        <w:tc>
          <w:tcPr>
            <w:tcW w:w="575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Бекітілгені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76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458ED" w:rsidRPr="00A8668E" w:rsidTr="00D807BB">
        <w:trPr>
          <w:trHeight w:val="360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D0212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Тауарларды өндіруге, қызметтерді көрсетуге арналған шығындар, барл., с.қ.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26 343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25 163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-4,5%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130F80" w:rsidTr="00D807BB">
        <w:trPr>
          <w:trHeight w:val="967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D0212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Материал</w:t>
            </w:r>
            <w:r w:rsidR="00D02124"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дық шығындар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-10,8%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D0212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Сатып алу рәсімдерінің қорытындысы бойынша үнем. Ауа райының жылы болуына және энергияны үнемдеу технологиясын қолдануға байланысты, шаруашылық қажеттіліктеріне электр энергиясын тұтынудың азаюы</w:t>
            </w:r>
          </w:p>
        </w:tc>
      </w:tr>
      <w:tr w:rsidR="007458ED" w:rsidRPr="00A8668E" w:rsidTr="00D807BB">
        <w:trPr>
          <w:trHeight w:val="258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D0212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Бөлек аударулармен бірге еңбекақы шығындары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6 633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6 774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A8668E" w:rsidTr="00D807BB">
        <w:trPr>
          <w:trHeight w:val="262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5 292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5 297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A8668E" w:rsidTr="00D807BB">
        <w:trPr>
          <w:trHeight w:val="1261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D0212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Негізгі қордың ұлғаюына алып келмейтін күрделі жөндеу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2 475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1 646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-33,5%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131EA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2016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ж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жөндеуге жұмсалған нақты шығын 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2 508 млн. те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ң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ге.</w:t>
            </w:r>
            <w:r w:rsidR="00131EA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Шығындарды ұтымды және дұрыс есептеу мақсатында, шығындардың жартысы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 862 млн. те</w:t>
            </w:r>
            <w:r w:rsidR="00131EA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ң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ге</w:t>
            </w:r>
            <w:r w:rsidR="00131EA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 мөлшерінде қаржылық есептіліктің Халықаралық стандартына сай капиталдандыруға жататын шығындар ретінде қайта қарастырылған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 (IAS 16) (</w:t>
            </w:r>
            <w:r w:rsidR="00131EA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«Табиғи монополиялар туралы» Заңның 7-бабы 7) тармақшасына сәйкес, «АЖК» АҚ аудиторлық ұйымдармен міндетті жыл сайынғы аудитті өткізуге міндетті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). </w:t>
            </w:r>
          </w:p>
        </w:tc>
      </w:tr>
      <w:tr w:rsidR="007458ED" w:rsidRPr="00A8668E" w:rsidTr="00D807BB">
        <w:trPr>
          <w:trHeight w:val="236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D0212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Нормативтік ысыраптарға арналған шығындар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9 578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9 272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130F80" w:rsidTr="00D807BB">
        <w:trPr>
          <w:trHeight w:val="1246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D0212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Электр энергиясын өндру-тұтынуды теңгерімдеуді ұйымдастыру қызметі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-12,6%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131EA4" w:rsidP="005653F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Аталған қызмет көлемі  - э/э нормативтік ысыраптарының нақты көлеміне және шаруашылық қажеттіліктерге арналған эл.энергиясының көлеміне тең. Аза</w:t>
            </w:r>
            <w:r w:rsidR="005653FA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ю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 э/э норм. </w:t>
            </w:r>
            <w:r w:rsidR="005653FA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ы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сыраптарын және шаруаш. </w:t>
            </w:r>
            <w:r w:rsidR="005653FA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қ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ажеттіліктері көлемін азайту есебінен болған</w:t>
            </w:r>
          </w:p>
        </w:tc>
      </w:tr>
      <w:tr w:rsidR="007458ED" w:rsidRPr="00130F80" w:rsidTr="00D807BB">
        <w:trPr>
          <w:trHeight w:val="788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7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D02124" w:rsidP="00D0212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Жиілікті реттеу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млн.тг.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456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424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-7,1%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591C9E" w:rsidP="00591C9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Бекітілген көрсеткіштерге қызметтердің нақты құнының ауытқуы 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"НЭС Кыргызстана" 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ЖАҚ-дан қуат резервінің болмауына байланысты, қараша және желтоқсанда қуатты реттеу қызметінің шектелуіне байланысты болған</w:t>
            </w:r>
          </w:p>
        </w:tc>
      </w:tr>
      <w:tr w:rsidR="007458ED" w:rsidRPr="00A8668E" w:rsidTr="00D807BB">
        <w:trPr>
          <w:trHeight w:val="1822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9E45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 </w:t>
            </w:r>
            <w:r w:rsidR="009E4528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8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Бөгде ұйымдардың қызметі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1 134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-6,5%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EE338F" w:rsidP="002F470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Үнем</w:t>
            </w:r>
            <w:r w:rsidR="002F470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 -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 байланыстың арзан балама түріне 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</w:t>
            </w:r>
            <w:proofErr w:type="spellStart"/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телеф</w:t>
            </w:r>
            <w:proofErr w:type="spellEnd"/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.;</w:t>
            </w:r>
            <w:r w:rsidR="00130F8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интернет)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 көшу есебінен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; 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азаю </w:t>
            </w:r>
            <w:r w:rsidR="002F470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- 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еңбек қорғау бойынша сатып алу </w:t>
            </w:r>
            <w:proofErr w:type="gramStart"/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р</w:t>
            </w:r>
            <w:proofErr w:type="gramEnd"/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әсімін қайта жүргізуге және жеткізушілердің шарттық міндемттемелерін орындамауына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; 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шарттар бойынша 2017жылға қызмет</w:t>
            </w:r>
            <w:r w:rsidR="002F470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тің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 бір бөлігінің </w:t>
            </w:r>
            <w:r w:rsidR="002F470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көшірілгеніне т.б. байланысты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. </w:t>
            </w:r>
            <w:r w:rsidR="00960AE1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«</w:t>
            </w:r>
            <w:r w:rsidR="002F470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Салықтар</w:t>
            </w:r>
            <w:r w:rsidR="00960AE1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» </w:t>
            </w:r>
            <w:r w:rsidR="002F470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бабы бойынша </w:t>
            </w:r>
            <w:r w:rsidR="00960AE1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(экологи</w:t>
            </w:r>
            <w:r w:rsidR="002F470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ялық төлемдер</w:t>
            </w:r>
            <w:r w:rsidR="00960AE1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) </w:t>
            </w:r>
            <w:r w:rsidR="002F470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төмендеу</w:t>
            </w:r>
            <w:r w:rsidR="007A65A6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-</w:t>
            </w:r>
            <w:r w:rsidR="002F4704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 автокөлік құралдарын, арнайы техниканы, жабдықтарды есептен шығару нәтижесінде болған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7458ED" w:rsidRPr="00A8668E" w:rsidTr="00D807BB">
        <w:trPr>
          <w:trHeight w:val="233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Кезеңдегі шығындар, барлығы, с.қ.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2 288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2 417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A8668E" w:rsidTr="00D807BB">
        <w:trPr>
          <w:trHeight w:val="406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Жалпы және әкімшілік шығындар, барлығы: сонымен қатар: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1 630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1 767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8,4%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7458ED" w:rsidRPr="00130F80" w:rsidTr="00D807BB">
        <w:trPr>
          <w:trHeight w:val="767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  <w:r w:rsidR="00B605E5"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Бөлек аударулармен бірге әкімші персоналдың жалақысы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5,7%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3C7BF3" w:rsidP="003C7BF3">
            <w:pPr>
              <w:rPr>
                <w:sz w:val="20"/>
                <w:szCs w:val="20"/>
                <w:lang w:val="kk-KZ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Тарифтік сметада әкімші персоналдың жалақысы бойынша сома 2015ж. 9 айының қорытындыларымен жасалған орташа жалақы бойынша инфляция коэффиценті есепке алынбай, 213 адам санымен, 173 637 теңге мөлшерінде қабылданған болатын. 2016 жылы тиімді қызметке байланысты шығындар бабы бойынша үнемдеу есебінен  6%-ға  жалақыны индексациялау жүргізілген</w:t>
            </w:r>
          </w:p>
        </w:tc>
      </w:tr>
      <w:tr w:rsidR="007458ED" w:rsidRPr="00A8668E" w:rsidTr="00D807BB">
        <w:trPr>
          <w:trHeight w:val="693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  <w:r w:rsidR="00B605E5"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Салықтар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2F4704" w:rsidP="002F4704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Мүлік салығы 2016 жылғы бухгалтерлік есеп деректеріне сай негізгі құралдардың нақты қолда болуына орай есептелген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458ED" w:rsidRPr="00A8668E" w:rsidTr="00D807BB">
        <w:trPr>
          <w:trHeight w:val="1385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  <w:r w:rsidR="00B605E5"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kk-KZ" w:eastAsia="ru-RU"/>
              </w:rPr>
              <w:t>Өзге шығындар, барлығы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-2,9%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2F4704" w:rsidP="003449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Шаруашылық қажеттіліктерге электр энергиясын тұтынудың азаюы - ауа райының жылы болуына және ыстық суға сенсорлық тетігі бар қосқыштарды орнатумен, энергияны үнемдеу технологиясын қолдануға байланысты</w:t>
            </w:r>
            <w:r w:rsidR="00AF1D7B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; </w:t>
            </w:r>
            <w:r w:rsidR="0034491D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желтоқсанда пошта шығындарын жеткізушінің кеш беруіне байланысты</w:t>
            </w:r>
            <w:r w:rsidR="00AF1D7B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.</w:t>
            </w:r>
          </w:p>
        </w:tc>
      </w:tr>
      <w:tr w:rsidR="007458ED" w:rsidRPr="00A8668E" w:rsidTr="00D807BB">
        <w:trPr>
          <w:trHeight w:val="533"/>
        </w:trPr>
        <w:tc>
          <w:tcPr>
            <w:tcW w:w="57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Сыйақылар төлеуге жұмсалған шығындар</w:t>
            </w:r>
            <w:r w:rsidR="00960AE1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(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Екінші деңгейдегі банктер</w:t>
            </w:r>
            <w:r w:rsidR="00960AE1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4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млн.тг</w:t>
            </w:r>
          </w:p>
        </w:tc>
        <w:tc>
          <w:tcPr>
            <w:tcW w:w="182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684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536989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5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54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34491D" w:rsidP="003449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>Заемдық қаражат бойынша банкке сыйақылар төлеуге кеткен шығындар (инвестициялық бағдарламаларды іске асыруға бағытталған</w:t>
            </w:r>
            <w:r w:rsidR="00B605E5"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  <w:t>)</w:t>
            </w:r>
          </w:p>
        </w:tc>
      </w:tr>
      <w:tr w:rsidR="00D807BB" w:rsidRPr="00A8668E" w:rsidTr="00D807BB">
        <w:trPr>
          <w:trHeight w:val="369"/>
        </w:trPr>
        <w:tc>
          <w:tcPr>
            <w:tcW w:w="575" w:type="dxa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D807BB" w:rsidP="00A711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  <w:r w:rsidR="00A71191"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kk-KZ" w:eastAsia="ru-RU"/>
              </w:rPr>
              <w:t>Қызметтерді көрсетуге арналған шығындар, барлығы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D807BB" w:rsidP="00045C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млн.тг.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D807BB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28 632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D807BB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27 579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D807BB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-3,7%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07BB" w:rsidRPr="00A8668E" w:rsidRDefault="00D807BB" w:rsidP="00045C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D807BB" w:rsidRPr="00A8668E" w:rsidTr="00045CD6">
        <w:trPr>
          <w:trHeight w:val="217"/>
        </w:trPr>
        <w:tc>
          <w:tcPr>
            <w:tcW w:w="575" w:type="dxa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D807BB" w:rsidP="00A711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  <w:r w:rsidR="00A71191"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kk-KZ" w:eastAsia="ru-RU"/>
              </w:rPr>
              <w:t>Пайда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D807BB" w:rsidP="00045CD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млн.тг.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D807BB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5 342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D807BB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5 869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07BB" w:rsidRPr="00A8668E" w:rsidRDefault="00D807BB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807BB" w:rsidRPr="00A8668E" w:rsidRDefault="00D807BB" w:rsidP="00045CD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7458ED" w:rsidRPr="00A8668E" w:rsidTr="00D807BB">
        <w:trPr>
          <w:trHeight w:val="217"/>
        </w:trPr>
        <w:tc>
          <w:tcPr>
            <w:tcW w:w="575" w:type="dxa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9E4528" w:rsidP="00A711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  <w:r w:rsidR="00A71191"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kk-KZ" w:eastAsia="ru-RU"/>
              </w:rPr>
              <w:t>Барлық кірістер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млн.тг.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33 974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33 448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7458ED" w:rsidRPr="00A8668E" w:rsidTr="00D807BB">
        <w:trPr>
          <w:trHeight w:val="369"/>
        </w:trPr>
        <w:tc>
          <w:tcPr>
            <w:tcW w:w="575" w:type="dxa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EE338F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kk-KZ" w:eastAsia="ru-RU"/>
              </w:rPr>
              <w:t>Көрсетілетін қызметтер (жұмыстар, тауарлар) көлемі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млн/кВтч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6 350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6 252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-1,5%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05E5" w:rsidRPr="00A8668E" w:rsidRDefault="00B605E5" w:rsidP="009C24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7458ED" w:rsidRPr="00A8668E" w:rsidTr="00D807BB">
        <w:trPr>
          <w:trHeight w:val="325"/>
        </w:trPr>
        <w:tc>
          <w:tcPr>
            <w:tcW w:w="575" w:type="dxa"/>
            <w:vMerge w:val="restart"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Норматив</w:t>
            </w:r>
            <w:r w:rsidR="00EE338F"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kk-KZ" w:eastAsia="ru-RU"/>
              </w:rPr>
              <w:t>тік техникалық ысыраптар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7458ED" w:rsidRPr="00A8668E" w:rsidTr="00D807BB">
        <w:trPr>
          <w:trHeight w:val="217"/>
        </w:trPr>
        <w:tc>
          <w:tcPr>
            <w:tcW w:w="575" w:type="dxa"/>
            <w:vMerge/>
            <w:tcBorders>
              <w:top w:val="single" w:sz="4" w:space="0" w:color="003300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млн/кВтч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-3,2%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  <w:tr w:rsidR="007458ED" w:rsidRPr="00A8668E" w:rsidTr="00D807BB">
        <w:trPr>
          <w:trHeight w:val="379"/>
        </w:trPr>
        <w:tc>
          <w:tcPr>
            <w:tcW w:w="575" w:type="dxa"/>
            <w:tcBorders>
              <w:top w:val="single" w:sz="4" w:space="0" w:color="0033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9E4528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EE338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Тариф</w:t>
            </w:r>
            <w:r w:rsidR="009C24B0"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(</w:t>
            </w:r>
            <w:r w:rsidR="00EE338F"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val="kk-KZ" w:eastAsia="ru-RU"/>
              </w:rPr>
              <w:t>ҚҚС-сыз</w:t>
            </w:r>
            <w:r w:rsidR="009C24B0"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тенге/кВтч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5,35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05E5" w:rsidRPr="00A8668E" w:rsidRDefault="00B605E5" w:rsidP="00C47CE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05E5" w:rsidRPr="00A8668E" w:rsidRDefault="00B605E5" w:rsidP="00B605E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433280" w:rsidRPr="00A8668E" w:rsidRDefault="00433280" w:rsidP="00B605E5">
      <w:pPr>
        <w:spacing w:after="0" w:line="240" w:lineRule="auto"/>
        <w:jc w:val="center"/>
        <w:textAlignment w:val="center"/>
        <w:rPr>
          <w:rFonts w:ascii="Calibri" w:eastAsia="Times New Roman" w:hAnsi="Calibri" w:cs="Arial"/>
          <w:kern w:val="24"/>
          <w:sz w:val="20"/>
          <w:szCs w:val="20"/>
          <w:lang w:eastAsia="ru-RU"/>
        </w:rPr>
      </w:pPr>
    </w:p>
    <w:p w:rsidR="00240806" w:rsidRPr="00A8668E" w:rsidRDefault="0034491D" w:rsidP="00240806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8668E">
        <w:rPr>
          <w:rFonts w:ascii="Times New Roman" w:hAnsi="Times New Roman" w:cs="Times New Roman"/>
          <w:b/>
          <w:lang w:val="kk-KZ"/>
        </w:rPr>
        <w:t>Уәкілетті органның ведомствосымен бекітілген, 2016ж. ин</w:t>
      </w:r>
      <w:r w:rsidR="00551E4B" w:rsidRPr="00A8668E">
        <w:rPr>
          <w:rFonts w:ascii="Times New Roman" w:hAnsi="Times New Roman" w:cs="Times New Roman"/>
          <w:b/>
        </w:rPr>
        <w:t>вестици</w:t>
      </w:r>
      <w:r w:rsidRPr="00A8668E">
        <w:rPr>
          <w:rFonts w:ascii="Times New Roman" w:hAnsi="Times New Roman" w:cs="Times New Roman"/>
          <w:b/>
          <w:lang w:val="kk-KZ"/>
        </w:rPr>
        <w:t>ялық бағдарламаның орындалуы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/>
      </w:tblPr>
      <w:tblGrid>
        <w:gridCol w:w="3417"/>
        <w:gridCol w:w="1509"/>
        <w:gridCol w:w="1369"/>
        <w:gridCol w:w="1369"/>
        <w:gridCol w:w="6931"/>
      </w:tblGrid>
      <w:tr w:rsidR="00240806" w:rsidRPr="00A8668E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34491D" w:rsidP="00BE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Іс-шаралар атауы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34491D" w:rsidP="0034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Жоспар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BE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34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r w:rsidR="0034491D" w:rsidRPr="00A8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орындалуы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A8668E" w:rsidRDefault="0034491D" w:rsidP="0034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Негіздеме</w:t>
            </w:r>
          </w:p>
        </w:tc>
      </w:tr>
      <w:tr w:rsidR="00240806" w:rsidRPr="00A8668E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34491D" w:rsidP="003449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kk-KZ" w:eastAsia="ru-RU"/>
              </w:rPr>
              <w:t>Бөлуші электр тораптарын қайта құрылымдау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4 397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4 377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A8668E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</w:pPr>
          </w:p>
        </w:tc>
      </w:tr>
      <w:tr w:rsidR="00240806" w:rsidRPr="00A8668E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34491D" w:rsidP="003449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kk-KZ" w:eastAsia="ru-RU"/>
              </w:rPr>
              <w:t>ЭЖЖ салу, қайта құрылымдау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1 032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1 031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A8668E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</w:pPr>
          </w:p>
        </w:tc>
      </w:tr>
      <w:tr w:rsidR="00240806" w:rsidRPr="00A8668E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34491D" w:rsidP="003449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kk-KZ" w:eastAsia="ru-RU"/>
              </w:rPr>
              <w:t>ҚС салу, қайта құрылымдау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2 548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5 227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205%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A8668E" w:rsidRDefault="0034491D" w:rsidP="00676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қ. мамандандырылған аудан аралық экономикалық сот шешіміне сай, сондай-ақ Алматы қ. А</w:t>
            </w:r>
            <w:r w:rsidR="00240806" w:rsidRPr="00A8668E">
              <w:rPr>
                <w:rFonts w:ascii="Times New Roman" w:hAnsi="Times New Roman" w:cs="Times New Roman"/>
                <w:sz w:val="20"/>
                <w:szCs w:val="20"/>
              </w:rPr>
              <w:t>пелляци</w:t>
            </w:r>
            <w:r w:rsidRPr="00A86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ялық</w:t>
            </w:r>
            <w:r w:rsidR="00240806" w:rsidRPr="00A8668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A86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 алқасы анықтамасымен бекітілген, 04.07.2016ж. бейбіт келісім негізінде, Екі тізбекті 220кВ-ЭЖЖ-мен «Кеңсай» </w:t>
            </w:r>
            <w:r w:rsidR="00676A83" w:rsidRPr="00A86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220/110/10кВ-ҚС-ны салу» жобасы бойынша нақты орындалған жұмыстар үшін, ҚҚС-мен </w:t>
            </w:r>
            <w:r w:rsidR="00240806" w:rsidRPr="00A8668E">
              <w:rPr>
                <w:rFonts w:ascii="Times New Roman" w:hAnsi="Times New Roman" w:cs="Times New Roman"/>
                <w:sz w:val="20"/>
                <w:szCs w:val="20"/>
              </w:rPr>
              <w:t>4 500 млн.те</w:t>
            </w:r>
            <w:r w:rsidR="00676A83" w:rsidRPr="00A86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="00240806" w:rsidRPr="00A8668E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="00676A83" w:rsidRPr="00A86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 шарт сомасы ұлғайған</w:t>
            </w:r>
          </w:p>
        </w:tc>
      </w:tr>
      <w:tr w:rsidR="00240806" w:rsidRPr="00A8668E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3449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en-US" w:eastAsia="ru-RU"/>
              </w:rPr>
              <w:t>SCADA</w:t>
            </w: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 xml:space="preserve">, </w:t>
            </w:r>
            <w:r w:rsidR="0034491D"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kk-KZ" w:eastAsia="ru-RU"/>
              </w:rPr>
              <w:t>ЭКЕАЖ енгізу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2 035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2 301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113%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A8668E" w:rsidRDefault="00676A83" w:rsidP="00676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«Табиғи монополиялар туралы» ҚР Заңының 6-бабы 5-2) тармағы және 7-бабы 4-1) тармақшасына сәйкес, нормативтік техникалық ысыраптар тарифтік смета бабы бойынша шығындарды үнемдеу есебінен </w:t>
            </w:r>
            <w:r w:rsidR="00240806" w:rsidRPr="00A8668E">
              <w:rPr>
                <w:rFonts w:ascii="Times New Roman" w:hAnsi="Times New Roman" w:cs="Times New Roman"/>
                <w:sz w:val="20"/>
                <w:szCs w:val="20"/>
              </w:rPr>
              <w:t xml:space="preserve">«SCADA» </w:t>
            </w:r>
            <w:r w:rsidRPr="00A86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бағдарламалық қамтамасыз етуді жаңғырту бойынша жоба іске асырылған, </w:t>
            </w:r>
            <w:r w:rsidR="00240806" w:rsidRPr="00A866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6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-кезең</w:t>
            </w:r>
            <w:r w:rsidR="00240806" w:rsidRPr="00A86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0806" w:rsidRPr="00A8668E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34491D" w:rsidP="003449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kk-KZ" w:eastAsia="ru-RU"/>
              </w:rPr>
              <w:t>Өндірістік қызмет үдерісіне тікелей қатысатын, өндірістік активтерді және басқа да негізгі құралдарды жөндеуге арналған басқа да шығындар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A8668E" w:rsidRDefault="00240806" w:rsidP="00BE4A9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</w:pPr>
          </w:p>
        </w:tc>
      </w:tr>
      <w:tr w:rsidR="00240806" w:rsidRPr="00A8668E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34491D" w:rsidP="003449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kk-KZ" w:eastAsia="ru-RU"/>
              </w:rPr>
              <w:t>Негізгі құралдар мен материалдық емес активтерді алу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A8668E" w:rsidRDefault="00240806" w:rsidP="00BE4A9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iCs/>
                <w:kern w:val="24"/>
                <w:sz w:val="20"/>
                <w:szCs w:val="20"/>
                <w:lang w:eastAsia="ru-RU"/>
              </w:rPr>
            </w:pPr>
          </w:p>
        </w:tc>
      </w:tr>
      <w:tr w:rsidR="00240806" w:rsidRPr="00A8668E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A8668E" w:rsidRDefault="0034491D" w:rsidP="00F8510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10 662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13 584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127%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A8668E" w:rsidRDefault="00240806" w:rsidP="00BE4A91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240806" w:rsidRPr="00130F80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A8668E" w:rsidRDefault="0034491D" w:rsidP="0034491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val="kk-KZ" w:eastAsia="ru-RU"/>
              </w:rPr>
              <w:t>Электр тораптары мен жабдықтарды күрделі жөндеу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A8668E" w:rsidRDefault="00676A83" w:rsidP="00676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66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Аталған шығындар жөндеуге арналған ағымдағы шығындарда 2016ж. тарифтік сметада қарастырылған. </w:t>
            </w:r>
            <w:r w:rsidRPr="00A866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val="kk-KZ" w:eastAsia="ru-RU"/>
              </w:rPr>
              <w:t xml:space="preserve">Шығындарды ұтымды және дұрыс есептеу мақсатында, шығындардың жартысы 862 млн. теңге мөлшерінде қаржылық есептіліктің Халықаралық стандартына сай капиталдандыруға жататын шығындар ретінде қайта қарастырылған (IAS 16) («Табиғи монополиялар туралы» Заңның 7-бабы 7) тармақшасына сәйкес, «АЖК» АҚ аудиторлық ұйымдармен міндетті жыл сайынғы аудитті өткізуге міндетті). </w:t>
            </w:r>
          </w:p>
        </w:tc>
      </w:tr>
      <w:tr w:rsidR="00240806" w:rsidRPr="00A8668E" w:rsidTr="00BE4A91">
        <w:trPr>
          <w:trHeight w:val="2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34491D" w:rsidP="00E76A8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10 662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14 448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0806" w:rsidRPr="00A8668E" w:rsidRDefault="00240806" w:rsidP="00C47CE2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668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136%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806" w:rsidRPr="00A8668E" w:rsidRDefault="00240806" w:rsidP="00BE4A9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E60E1C" w:rsidRPr="00A8668E" w:rsidRDefault="00E60E1C" w:rsidP="002408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94AC5" w:rsidRPr="00A8668E" w:rsidRDefault="00676A83" w:rsidP="00B94AC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8668E">
        <w:rPr>
          <w:rFonts w:ascii="Times New Roman" w:hAnsi="Times New Roman" w:cs="Times New Roman"/>
          <w:b/>
          <w:u w:val="single"/>
          <w:lang w:val="kk-KZ"/>
        </w:rPr>
        <w:t>ИБ-ны іске асыру нәтижесі</w:t>
      </w:r>
      <w:r w:rsidR="00B94AC5" w:rsidRPr="00A8668E">
        <w:rPr>
          <w:rFonts w:ascii="Times New Roman" w:hAnsi="Times New Roman" w:cs="Times New Roman"/>
          <w:b/>
          <w:u w:val="single"/>
        </w:rPr>
        <w:t>:</w:t>
      </w:r>
    </w:p>
    <w:p w:rsidR="00B94AC5" w:rsidRPr="00A8668E" w:rsidRDefault="00676A83" w:rsidP="00B94AC5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</w:rPr>
      </w:pPr>
      <w:r w:rsidRPr="00A8668E">
        <w:rPr>
          <w:rFonts w:ascii="Times New Roman" w:eastAsia="Calibri" w:hAnsi="Times New Roman" w:cs="Times New Roman"/>
          <w:lang w:val="kk-KZ"/>
        </w:rPr>
        <w:t>Топырақ опырылуы және ҚС-ның</w:t>
      </w:r>
      <w:r w:rsidR="0050285D">
        <w:rPr>
          <w:rFonts w:ascii="Times New Roman" w:eastAsia="Calibri" w:hAnsi="Times New Roman" w:cs="Times New Roman"/>
          <w:lang w:val="kk-KZ"/>
        </w:rPr>
        <w:t xml:space="preserve"> </w:t>
      </w:r>
      <w:r w:rsidRPr="00A8668E">
        <w:rPr>
          <w:rFonts w:ascii="Times New Roman" w:eastAsia="Calibri" w:hAnsi="Times New Roman" w:cs="Times New Roman"/>
          <w:lang w:val="kk-KZ"/>
        </w:rPr>
        <w:t xml:space="preserve">құлауы бойынша жоғары тәуекелдерге орай, </w:t>
      </w:r>
      <w:r w:rsidR="00B94AC5" w:rsidRPr="00A8668E">
        <w:rPr>
          <w:rFonts w:ascii="Times New Roman" w:eastAsia="Calibri" w:hAnsi="Times New Roman" w:cs="Times New Roman"/>
        </w:rPr>
        <w:t>«Горный Гигант»</w:t>
      </w:r>
      <w:r w:rsidRPr="00A8668E">
        <w:rPr>
          <w:rFonts w:ascii="Times New Roman" w:eastAsia="Calibri" w:hAnsi="Times New Roman" w:cs="Times New Roman"/>
          <w:lang w:val="kk-KZ"/>
        </w:rPr>
        <w:t xml:space="preserve"> ҚС-да төтенше жағдай туындағанына байланысты, 2016 жылы  </w:t>
      </w:r>
      <w:r w:rsidR="00B94AC5" w:rsidRPr="00A8668E">
        <w:rPr>
          <w:rFonts w:ascii="Times New Roman" w:eastAsia="Calibri" w:hAnsi="Times New Roman" w:cs="Times New Roman"/>
        </w:rPr>
        <w:t xml:space="preserve">№131А «Горный Гигант» </w:t>
      </w:r>
      <w:r w:rsidRPr="00A8668E">
        <w:rPr>
          <w:rFonts w:ascii="Times New Roman" w:eastAsia="Calibri" w:hAnsi="Times New Roman" w:cs="Times New Roman"/>
        </w:rPr>
        <w:t>220/110/10 кВ</w:t>
      </w:r>
      <w:r w:rsidRPr="00A8668E">
        <w:rPr>
          <w:rFonts w:ascii="Times New Roman" w:eastAsia="Calibri" w:hAnsi="Times New Roman" w:cs="Times New Roman"/>
          <w:lang w:val="kk-KZ"/>
        </w:rPr>
        <w:t>-ҚС жүктемесін</w:t>
      </w:r>
      <w:r w:rsidR="00130F80">
        <w:rPr>
          <w:rFonts w:ascii="Times New Roman" w:eastAsia="Calibri" w:hAnsi="Times New Roman" w:cs="Times New Roman"/>
          <w:lang w:val="kk-KZ"/>
        </w:rPr>
        <w:t xml:space="preserve"> </w:t>
      </w:r>
      <w:r w:rsidRPr="00A8668E">
        <w:rPr>
          <w:rFonts w:ascii="Times New Roman" w:eastAsia="Calibri" w:hAnsi="Times New Roman" w:cs="Times New Roman"/>
          <w:lang w:val="kk-KZ"/>
        </w:rPr>
        <w:t xml:space="preserve">келешекте 131А ҚС-ны бөлшектеумен 110кВ-тық тораптар бойынша «Ерменсай» </w:t>
      </w:r>
      <w:r w:rsidR="00D665E2" w:rsidRPr="00A8668E">
        <w:rPr>
          <w:rFonts w:ascii="Times New Roman" w:eastAsia="Calibri" w:hAnsi="Times New Roman" w:cs="Times New Roman"/>
          <w:lang w:val="kk-KZ"/>
        </w:rPr>
        <w:t>220/110/10-6кВ-ҚС-ға көшіру жұмыстары басталған</w:t>
      </w:r>
      <w:r w:rsidR="00B94AC5" w:rsidRPr="00A8668E">
        <w:rPr>
          <w:rFonts w:ascii="Times New Roman" w:eastAsia="Calibri" w:hAnsi="Times New Roman" w:cs="Times New Roman"/>
        </w:rPr>
        <w:t xml:space="preserve">. </w:t>
      </w:r>
      <w:r w:rsidR="00D665E2" w:rsidRPr="00A8668E">
        <w:rPr>
          <w:rFonts w:ascii="Times New Roman" w:eastAsia="Calibri" w:hAnsi="Times New Roman" w:cs="Times New Roman"/>
          <w:lang w:val="kk-KZ"/>
        </w:rPr>
        <w:t xml:space="preserve">Жобаны іске асырудың мақсаты – Алматы қ. тұтынушыларын электрмен жабдықтауды қамтамасыз ету және </w:t>
      </w:r>
      <w:r w:rsidR="00B94AC5" w:rsidRPr="00A8668E">
        <w:rPr>
          <w:rFonts w:ascii="Times New Roman" w:eastAsia="Calibri" w:hAnsi="Times New Roman" w:cs="Times New Roman"/>
        </w:rPr>
        <w:t xml:space="preserve"> №110А, №11</w:t>
      </w:r>
      <w:r w:rsidR="00D665E2" w:rsidRPr="00A8668E">
        <w:rPr>
          <w:rFonts w:ascii="Times New Roman" w:eastAsia="Calibri" w:hAnsi="Times New Roman" w:cs="Times New Roman"/>
        </w:rPr>
        <w:t xml:space="preserve">1А, №163А, №164А, №153А, №148А </w:t>
      </w:r>
      <w:r w:rsidR="00D665E2" w:rsidRPr="00A8668E">
        <w:rPr>
          <w:rFonts w:ascii="Times New Roman" w:eastAsia="Calibri" w:hAnsi="Times New Roman" w:cs="Times New Roman"/>
          <w:lang w:val="kk-KZ"/>
        </w:rPr>
        <w:t>110кВ-ЭЖЖ жүктемесін</w:t>
      </w:r>
      <w:r w:rsidR="00B94AC5" w:rsidRPr="00A8668E">
        <w:rPr>
          <w:rFonts w:ascii="Times New Roman" w:eastAsia="Calibri" w:hAnsi="Times New Roman" w:cs="Times New Roman"/>
        </w:rPr>
        <w:t xml:space="preserve"> «Ерменсай»</w:t>
      </w:r>
      <w:r w:rsidR="00D665E2" w:rsidRPr="00A8668E">
        <w:rPr>
          <w:rFonts w:ascii="Times New Roman" w:eastAsia="Calibri" w:hAnsi="Times New Roman" w:cs="Times New Roman"/>
          <w:lang w:val="kk-KZ"/>
        </w:rPr>
        <w:t xml:space="preserve"> ҚС-ға көшіру</w:t>
      </w:r>
      <w:r w:rsidR="00B94AC5" w:rsidRPr="00A8668E">
        <w:rPr>
          <w:rFonts w:ascii="Times New Roman" w:eastAsia="Calibri" w:hAnsi="Times New Roman" w:cs="Times New Roman"/>
        </w:rPr>
        <w:t xml:space="preserve">. </w:t>
      </w:r>
    </w:p>
    <w:p w:rsidR="00B94AC5" w:rsidRPr="00A8668E" w:rsidRDefault="00B94AC5" w:rsidP="00B94AC5">
      <w:pPr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lang w:val="kk-KZ"/>
        </w:rPr>
      </w:pPr>
      <w:r w:rsidRPr="00A8668E">
        <w:rPr>
          <w:rFonts w:ascii="Times New Roman" w:eastAsia="Calibri" w:hAnsi="Times New Roman" w:cs="Times New Roman"/>
        </w:rPr>
        <w:t xml:space="preserve">2016 </w:t>
      </w:r>
      <w:r w:rsidR="00D665E2" w:rsidRPr="00A8668E">
        <w:rPr>
          <w:rFonts w:ascii="Times New Roman" w:eastAsia="Calibri" w:hAnsi="Times New Roman" w:cs="Times New Roman"/>
          <w:lang w:val="kk-KZ"/>
        </w:rPr>
        <w:t xml:space="preserve">жылы ұзындығы </w:t>
      </w:r>
      <w:r w:rsidRPr="00A8668E">
        <w:rPr>
          <w:rFonts w:ascii="Times New Roman" w:eastAsia="Calibri" w:hAnsi="Times New Roman" w:cs="Times New Roman"/>
        </w:rPr>
        <w:t xml:space="preserve"> 6,67 км. </w:t>
      </w:r>
      <w:r w:rsidR="00D665E2" w:rsidRPr="00A8668E">
        <w:rPr>
          <w:rFonts w:ascii="Times New Roman" w:eastAsia="Calibri" w:hAnsi="Times New Roman" w:cs="Times New Roman"/>
          <w:lang w:val="kk-KZ"/>
        </w:rPr>
        <w:t xml:space="preserve">Ерменсай ҚС – КазГУ ҚС 110кВ-КЖ құрылысы аяқталған. КЖ-ні салудағы мақсат – Алматы қаласының оңтүстік бөлігіндегі тұтынушыларды электрмен жабдықтау сенімділігін арттыру және келешекте «Горный Гигант» ҚС-ны бөлшектеу үшін, «Ерменсай» </w:t>
      </w:r>
      <w:r w:rsidRPr="00A8668E">
        <w:rPr>
          <w:rFonts w:ascii="Times New Roman" w:eastAsia="Calibri" w:hAnsi="Times New Roman" w:cs="Times New Roman"/>
          <w:lang w:val="kk-KZ"/>
        </w:rPr>
        <w:t>220/110/10 кВ</w:t>
      </w:r>
      <w:r w:rsidR="00D665E2" w:rsidRPr="00A8668E">
        <w:rPr>
          <w:rFonts w:ascii="Times New Roman" w:eastAsia="Calibri" w:hAnsi="Times New Roman" w:cs="Times New Roman"/>
          <w:lang w:val="kk-KZ"/>
        </w:rPr>
        <w:t>-ҚС-ға «Горный Гигант» №131А ҚС жүктемесін көшіру</w:t>
      </w:r>
      <w:r w:rsidRPr="00A8668E">
        <w:rPr>
          <w:rFonts w:ascii="Times New Roman" w:eastAsia="Calibri" w:hAnsi="Times New Roman" w:cs="Times New Roman"/>
          <w:lang w:val="kk-KZ"/>
        </w:rPr>
        <w:t>.</w:t>
      </w:r>
    </w:p>
    <w:p w:rsidR="00B94AC5" w:rsidRPr="00A8668E" w:rsidRDefault="00B94AC5" w:rsidP="00B94AC5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lang w:val="kk-KZ"/>
        </w:rPr>
      </w:pPr>
      <w:r w:rsidRPr="00A8668E">
        <w:rPr>
          <w:rFonts w:ascii="Times New Roman" w:eastAsia="Calibri" w:hAnsi="Times New Roman" w:cs="Times New Roman"/>
          <w:lang w:val="kk-KZ"/>
        </w:rPr>
        <w:t xml:space="preserve">2016 </w:t>
      </w:r>
      <w:r w:rsidR="00D665E2" w:rsidRPr="00A8668E">
        <w:rPr>
          <w:rFonts w:ascii="Times New Roman" w:eastAsia="Calibri" w:hAnsi="Times New Roman" w:cs="Times New Roman"/>
          <w:lang w:val="kk-KZ"/>
        </w:rPr>
        <w:t xml:space="preserve">жылы </w:t>
      </w:r>
      <w:r w:rsidRPr="00A8668E">
        <w:rPr>
          <w:rFonts w:ascii="Times New Roman" w:eastAsia="Calibri" w:hAnsi="Times New Roman" w:cs="Times New Roman"/>
          <w:lang w:val="kk-KZ"/>
        </w:rPr>
        <w:t xml:space="preserve">22А, 50А, 100А </w:t>
      </w:r>
      <w:r w:rsidR="00BB6417" w:rsidRPr="00A8668E">
        <w:rPr>
          <w:rFonts w:ascii="Times New Roman" w:eastAsia="Calibri" w:hAnsi="Times New Roman" w:cs="Times New Roman"/>
          <w:lang w:val="kk-KZ"/>
        </w:rPr>
        <w:t xml:space="preserve">ҚС-ның қолданыстағы 6кВ-тық тораптарын жаңадан салынған «Медеу» ҚС-дан және «Шымбұлақ» ҚС-дан және «Алмалы» 150А-ҚС 10кВ-ЭЖЖ-дан 10кВ-тық кернеуге көшіру жұмыстары, жүктемені №19А ҚС-дан жаңадан салынған </w:t>
      </w:r>
      <w:r w:rsidRPr="00A8668E">
        <w:rPr>
          <w:rFonts w:ascii="Times New Roman" w:eastAsia="Calibri" w:hAnsi="Times New Roman" w:cs="Times New Roman"/>
          <w:lang w:val="kk-KZ"/>
        </w:rPr>
        <w:t>«Мамыр»</w:t>
      </w:r>
      <w:r w:rsidR="00130F80">
        <w:rPr>
          <w:rFonts w:ascii="Times New Roman" w:eastAsia="Calibri" w:hAnsi="Times New Roman" w:cs="Times New Roman"/>
          <w:lang w:val="kk-KZ"/>
        </w:rPr>
        <w:t xml:space="preserve"> </w:t>
      </w:r>
      <w:r w:rsidR="0044693D" w:rsidRPr="00A8668E">
        <w:rPr>
          <w:rFonts w:ascii="Times New Roman" w:eastAsia="Calibri" w:hAnsi="Times New Roman" w:cs="Times New Roman"/>
          <w:lang w:val="kk-KZ"/>
        </w:rPr>
        <w:t>ҚС-ға көшіру бойынша жұмыстар, сондай-ақ қолданыстағы №4А ҚС-ның жүктемесін</w:t>
      </w:r>
      <w:r w:rsidR="007A65A6" w:rsidRPr="00A8668E">
        <w:rPr>
          <w:rFonts w:ascii="Times New Roman" w:eastAsia="Calibri" w:hAnsi="Times New Roman" w:cs="Times New Roman"/>
          <w:lang w:val="kk-KZ"/>
        </w:rPr>
        <w:t>ің</w:t>
      </w:r>
      <w:r w:rsidR="0044693D" w:rsidRPr="00A8668E">
        <w:rPr>
          <w:rFonts w:ascii="Times New Roman" w:eastAsia="Calibri" w:hAnsi="Times New Roman" w:cs="Times New Roman"/>
          <w:lang w:val="kk-KZ"/>
        </w:rPr>
        <w:t xml:space="preserve"> бір бөлігін жаңадан салынған «Алатау» </w:t>
      </w:r>
      <w:r w:rsidRPr="00A8668E">
        <w:rPr>
          <w:rFonts w:ascii="Times New Roman" w:eastAsia="Calibri" w:hAnsi="Times New Roman" w:cs="Times New Roman"/>
          <w:lang w:val="kk-KZ"/>
        </w:rPr>
        <w:t>110/10-10кВ</w:t>
      </w:r>
      <w:r w:rsidR="0044693D" w:rsidRPr="00A8668E">
        <w:rPr>
          <w:rFonts w:ascii="Times New Roman" w:eastAsia="Calibri" w:hAnsi="Times New Roman" w:cs="Times New Roman"/>
          <w:lang w:val="kk-KZ"/>
        </w:rPr>
        <w:t>-ҚС-ға көшіру бойынша жұмыстар басталған</w:t>
      </w:r>
      <w:r w:rsidRPr="00A8668E">
        <w:rPr>
          <w:rFonts w:ascii="Times New Roman" w:eastAsia="Calibri" w:hAnsi="Times New Roman" w:cs="Times New Roman"/>
          <w:lang w:val="kk-KZ"/>
        </w:rPr>
        <w:t xml:space="preserve">. </w:t>
      </w:r>
      <w:r w:rsidR="0044693D" w:rsidRPr="00A8668E">
        <w:rPr>
          <w:rFonts w:ascii="Times New Roman" w:eastAsia="Calibri" w:hAnsi="Times New Roman" w:cs="Times New Roman"/>
          <w:lang w:val="kk-KZ"/>
        </w:rPr>
        <w:t xml:space="preserve">Жобаларды іске асырудағы нәтиже – «АЖК» АҚ электр тораптарында ысыраптарды азайту және екі рет трансформациялауды болдырмау, сондай-ақ 35кВ-тық кернеулі класты жою жолымен 10кВ-тық бөлу тораптарының босатылымдық қабілетін ұлғайту, 6кВ-тық электр тораптарын жоғары 10кВ-тық кернеуге көшіру болып табылады. </w:t>
      </w:r>
    </w:p>
    <w:p w:rsidR="00B94AC5" w:rsidRPr="00A8668E" w:rsidRDefault="00B94AC5" w:rsidP="00B94AC5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8668E">
        <w:rPr>
          <w:rFonts w:ascii="Times New Roman" w:eastAsia="Calibri" w:hAnsi="Times New Roman" w:cs="Times New Roman"/>
          <w:lang w:val="kk-KZ"/>
        </w:rPr>
        <w:t xml:space="preserve">2016 </w:t>
      </w:r>
      <w:r w:rsidR="0044693D" w:rsidRPr="00A8668E">
        <w:rPr>
          <w:rFonts w:ascii="Times New Roman" w:eastAsia="Calibri" w:hAnsi="Times New Roman" w:cs="Times New Roman"/>
          <w:lang w:val="kk-KZ"/>
        </w:rPr>
        <w:t>жылы «Түріксіб» №14</w:t>
      </w:r>
      <w:r w:rsidRPr="00A8668E">
        <w:rPr>
          <w:rFonts w:ascii="Times New Roman" w:eastAsia="Calibri" w:hAnsi="Times New Roman" w:cs="Times New Roman"/>
          <w:lang w:val="kk-KZ"/>
        </w:rPr>
        <w:t xml:space="preserve"> 110/10/6кВ</w:t>
      </w:r>
      <w:r w:rsidR="0044693D" w:rsidRPr="00A8668E">
        <w:rPr>
          <w:rFonts w:ascii="Times New Roman" w:eastAsia="Calibri" w:hAnsi="Times New Roman" w:cs="Times New Roman"/>
          <w:lang w:val="kk-KZ"/>
        </w:rPr>
        <w:t>-ҚС-ны салу бойынша жұмыстарды жүргізу басталған. Нәтижесі</w:t>
      </w:r>
      <w:r w:rsidRPr="00A8668E">
        <w:rPr>
          <w:rFonts w:ascii="Times New Roman" w:eastAsia="Calibri" w:hAnsi="Times New Roman" w:cs="Times New Roman"/>
        </w:rPr>
        <w:t xml:space="preserve">: </w:t>
      </w:r>
      <w:r w:rsidR="0044693D" w:rsidRPr="00A8668E">
        <w:rPr>
          <w:rFonts w:ascii="Times New Roman" w:eastAsia="Calibri" w:hAnsi="Times New Roman" w:cs="Times New Roman"/>
          <w:lang w:val="kk-KZ"/>
        </w:rPr>
        <w:t>т</w:t>
      </w:r>
      <w:r w:rsidRPr="00A8668E">
        <w:rPr>
          <w:rFonts w:ascii="Times New Roman" w:eastAsia="Calibri" w:hAnsi="Times New Roman" w:cs="Times New Roman"/>
        </w:rPr>
        <w:t>рансформатор</w:t>
      </w:r>
      <w:r w:rsidR="0044693D" w:rsidRPr="00A8668E">
        <w:rPr>
          <w:rFonts w:ascii="Times New Roman" w:eastAsia="Calibri" w:hAnsi="Times New Roman" w:cs="Times New Roman"/>
          <w:lang w:val="kk-KZ"/>
        </w:rPr>
        <w:t xml:space="preserve">лық қуаттың өсуі            </w:t>
      </w:r>
      <w:r w:rsidRPr="00A8668E">
        <w:rPr>
          <w:rFonts w:ascii="Times New Roman" w:eastAsia="Calibri" w:hAnsi="Times New Roman" w:cs="Times New Roman"/>
        </w:rPr>
        <w:t>30 МВА.</w:t>
      </w:r>
    </w:p>
    <w:p w:rsidR="00EF55B5" w:rsidRPr="00A8668E" w:rsidRDefault="00B94AC5" w:rsidP="00EF55B5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8668E">
        <w:rPr>
          <w:rFonts w:ascii="Times New Roman" w:eastAsia="Calibri" w:hAnsi="Times New Roman" w:cs="Times New Roman"/>
        </w:rPr>
        <w:t xml:space="preserve">2х25 МВА </w:t>
      </w:r>
      <w:r w:rsidR="00147F91" w:rsidRPr="00A8668E">
        <w:rPr>
          <w:rFonts w:ascii="Times New Roman" w:eastAsia="Calibri" w:hAnsi="Times New Roman" w:cs="Times New Roman"/>
          <w:lang w:val="kk-KZ"/>
        </w:rPr>
        <w:t xml:space="preserve">қуатты трансформаторларды </w:t>
      </w:r>
      <w:r w:rsidRPr="00A8668E">
        <w:rPr>
          <w:rFonts w:ascii="Times New Roman" w:eastAsia="Calibri" w:hAnsi="Times New Roman" w:cs="Times New Roman"/>
        </w:rPr>
        <w:t>2х40 МВА</w:t>
      </w:r>
      <w:r w:rsidR="00EF55B5" w:rsidRPr="00A8668E">
        <w:rPr>
          <w:rFonts w:ascii="Times New Roman" w:eastAsia="Calibri" w:hAnsi="Times New Roman" w:cs="Times New Roman"/>
          <w:lang w:val="kk-KZ"/>
        </w:rPr>
        <w:t xml:space="preserve"> қуатты трансформаторларға ауыстырумен «Талғар» 110/35/10кВ-ҚС-ны қайта құрылымдау бойынша жұмыстарды жүргізу жалғасуда. ҚС-ны қайта құрылымдау мақсаты – тұтынушыларды сенімді электрмен жабдықтауды қамтамасыз ету және Талғар қ. жаңа тұтынушыларын қосу мүмкіндігін қамтамасыз ету. Нәтижесі</w:t>
      </w:r>
      <w:r w:rsidRPr="00A8668E">
        <w:rPr>
          <w:rFonts w:ascii="Times New Roman" w:eastAsia="Calibri" w:hAnsi="Times New Roman" w:cs="Times New Roman"/>
          <w:bCs/>
        </w:rPr>
        <w:t xml:space="preserve">:  </w:t>
      </w:r>
      <w:r w:rsidR="00EF55B5" w:rsidRPr="00A8668E">
        <w:rPr>
          <w:rFonts w:ascii="Times New Roman" w:eastAsia="Calibri" w:hAnsi="Times New Roman" w:cs="Times New Roman"/>
          <w:lang w:val="kk-KZ"/>
        </w:rPr>
        <w:t>т</w:t>
      </w:r>
      <w:r w:rsidR="00EF55B5" w:rsidRPr="00A8668E">
        <w:rPr>
          <w:rFonts w:ascii="Times New Roman" w:eastAsia="Calibri" w:hAnsi="Times New Roman" w:cs="Times New Roman"/>
        </w:rPr>
        <w:t>рансформатор</w:t>
      </w:r>
      <w:r w:rsidR="00EF55B5" w:rsidRPr="00A8668E">
        <w:rPr>
          <w:rFonts w:ascii="Times New Roman" w:eastAsia="Calibri" w:hAnsi="Times New Roman" w:cs="Times New Roman"/>
          <w:lang w:val="kk-KZ"/>
        </w:rPr>
        <w:t xml:space="preserve">лық қуаттың өсуі            </w:t>
      </w:r>
      <w:r w:rsidR="00EF55B5" w:rsidRPr="00A8668E">
        <w:rPr>
          <w:rFonts w:ascii="Times New Roman" w:eastAsia="Calibri" w:hAnsi="Times New Roman" w:cs="Times New Roman"/>
        </w:rPr>
        <w:t>30 МВА.</w:t>
      </w:r>
    </w:p>
    <w:p w:rsidR="00B94AC5" w:rsidRPr="00A8668E" w:rsidRDefault="00B94AC5" w:rsidP="00B94AC5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8668E">
        <w:rPr>
          <w:rFonts w:ascii="Times New Roman" w:eastAsia="Calibri" w:hAnsi="Times New Roman" w:cs="Times New Roman"/>
        </w:rPr>
        <w:t xml:space="preserve">Алматы </w:t>
      </w:r>
      <w:r w:rsidR="00EF55B5" w:rsidRPr="00A8668E">
        <w:rPr>
          <w:rFonts w:ascii="Times New Roman" w:eastAsia="Calibri" w:hAnsi="Times New Roman" w:cs="Times New Roman"/>
          <w:lang w:val="kk-KZ"/>
        </w:rPr>
        <w:t xml:space="preserve">қаласы мен </w:t>
      </w:r>
      <w:r w:rsidRPr="00A8668E">
        <w:rPr>
          <w:rFonts w:ascii="Times New Roman" w:eastAsia="Calibri" w:hAnsi="Times New Roman" w:cs="Times New Roman"/>
        </w:rPr>
        <w:t>Алмат</w:t>
      </w:r>
      <w:r w:rsidR="00EF55B5" w:rsidRPr="00A8668E">
        <w:rPr>
          <w:rFonts w:ascii="Times New Roman" w:eastAsia="Calibri" w:hAnsi="Times New Roman" w:cs="Times New Roman"/>
          <w:lang w:val="kk-KZ"/>
        </w:rPr>
        <w:t>ы облысы бойынша 6/10-0,4кВ-тық тораптарды қайта құрылымдау орындалды</w:t>
      </w:r>
      <w:r w:rsidRPr="00A8668E">
        <w:rPr>
          <w:rFonts w:ascii="Times New Roman" w:eastAsia="Calibri" w:hAnsi="Times New Roman" w:cs="Times New Roman"/>
        </w:rPr>
        <w:t xml:space="preserve">.  2016 </w:t>
      </w:r>
      <w:r w:rsidR="00EF55B5" w:rsidRPr="00A8668E">
        <w:rPr>
          <w:rFonts w:ascii="Times New Roman" w:eastAsia="Calibri" w:hAnsi="Times New Roman" w:cs="Times New Roman"/>
          <w:lang w:val="kk-KZ"/>
        </w:rPr>
        <w:t xml:space="preserve">жылы 138 дана мөлшерінде қосымша ТҚС орнатумен және ауыстырылумен жалпы ұзындығы </w:t>
      </w:r>
      <w:r w:rsidRPr="00A8668E">
        <w:rPr>
          <w:rFonts w:ascii="Times New Roman" w:eastAsia="Calibri" w:hAnsi="Times New Roman" w:cs="Times New Roman"/>
          <w:bCs/>
        </w:rPr>
        <w:t xml:space="preserve"> 383,84 км.</w:t>
      </w:r>
      <w:r w:rsidR="00EF55B5" w:rsidRPr="00A8668E">
        <w:rPr>
          <w:rFonts w:ascii="Times New Roman" w:eastAsia="Calibri" w:hAnsi="Times New Roman" w:cs="Times New Roman"/>
          <w:bCs/>
          <w:lang w:val="kk-KZ"/>
        </w:rPr>
        <w:t>тораптар қайта құрылымданған</w:t>
      </w:r>
      <w:r w:rsidRPr="00A8668E">
        <w:rPr>
          <w:rFonts w:ascii="Times New Roman" w:eastAsia="Calibri" w:hAnsi="Times New Roman" w:cs="Times New Roman"/>
          <w:bCs/>
        </w:rPr>
        <w:t xml:space="preserve">. </w:t>
      </w:r>
      <w:r w:rsidR="00EF55B5" w:rsidRPr="00A8668E">
        <w:rPr>
          <w:rFonts w:ascii="Times New Roman" w:eastAsia="Calibri" w:hAnsi="Times New Roman" w:cs="Times New Roman"/>
          <w:bCs/>
          <w:lang w:val="kk-KZ"/>
        </w:rPr>
        <w:t>Олар</w:t>
      </w:r>
      <w:r w:rsidRPr="00A8668E">
        <w:rPr>
          <w:rFonts w:ascii="Times New Roman" w:eastAsia="Calibri" w:hAnsi="Times New Roman" w:cs="Times New Roman"/>
        </w:rPr>
        <w:t>:  Алматы</w:t>
      </w:r>
      <w:r w:rsidR="00EF55B5" w:rsidRPr="00A8668E">
        <w:rPr>
          <w:rFonts w:ascii="Times New Roman" w:eastAsia="Calibri" w:hAnsi="Times New Roman" w:cs="Times New Roman"/>
          <w:lang w:val="kk-KZ"/>
        </w:rPr>
        <w:t xml:space="preserve"> қаласы бойынша</w:t>
      </w:r>
      <w:r w:rsidRPr="00A8668E">
        <w:rPr>
          <w:rFonts w:ascii="Times New Roman" w:eastAsia="Calibri" w:hAnsi="Times New Roman" w:cs="Times New Roman"/>
        </w:rPr>
        <w:t xml:space="preserve">: - 220,3 км </w:t>
      </w:r>
      <w:r w:rsidR="00EF55B5" w:rsidRPr="00A8668E">
        <w:rPr>
          <w:rFonts w:ascii="Times New Roman" w:eastAsia="Calibri" w:hAnsi="Times New Roman" w:cs="Times New Roman"/>
          <w:lang w:val="kk-KZ"/>
        </w:rPr>
        <w:t>тораптар және ТҚС</w:t>
      </w:r>
      <w:r w:rsidRPr="00A8668E">
        <w:rPr>
          <w:rFonts w:ascii="Times New Roman" w:eastAsia="Calibri" w:hAnsi="Times New Roman" w:cs="Times New Roman"/>
        </w:rPr>
        <w:t xml:space="preserve"> 82 </w:t>
      </w:r>
      <w:r w:rsidR="00EF55B5" w:rsidRPr="00A8668E">
        <w:rPr>
          <w:rFonts w:ascii="Times New Roman" w:eastAsia="Calibri" w:hAnsi="Times New Roman" w:cs="Times New Roman"/>
          <w:lang w:val="kk-KZ"/>
        </w:rPr>
        <w:t>дана және</w:t>
      </w:r>
      <w:r w:rsidRPr="00A8668E">
        <w:rPr>
          <w:rFonts w:ascii="Times New Roman" w:eastAsia="Calibri" w:hAnsi="Times New Roman" w:cs="Times New Roman"/>
        </w:rPr>
        <w:t>Алмат</w:t>
      </w:r>
      <w:r w:rsidR="00EF55B5" w:rsidRPr="00A8668E">
        <w:rPr>
          <w:rFonts w:ascii="Times New Roman" w:eastAsia="Calibri" w:hAnsi="Times New Roman" w:cs="Times New Roman"/>
          <w:lang w:val="kk-KZ"/>
        </w:rPr>
        <w:t>ы облысы бойынша</w:t>
      </w:r>
      <w:r w:rsidRPr="00A8668E">
        <w:rPr>
          <w:rFonts w:ascii="Times New Roman" w:eastAsia="Calibri" w:hAnsi="Times New Roman" w:cs="Times New Roman"/>
        </w:rPr>
        <w:t xml:space="preserve"> 163,54 км </w:t>
      </w:r>
      <w:r w:rsidR="00EF55B5" w:rsidRPr="00A8668E">
        <w:rPr>
          <w:rFonts w:ascii="Times New Roman" w:eastAsia="Calibri" w:hAnsi="Times New Roman" w:cs="Times New Roman"/>
          <w:lang w:val="kk-KZ"/>
        </w:rPr>
        <w:t>тораптар және</w:t>
      </w:r>
      <w:r w:rsidRPr="00A8668E">
        <w:rPr>
          <w:rFonts w:ascii="Times New Roman" w:eastAsia="Calibri" w:hAnsi="Times New Roman" w:cs="Times New Roman"/>
        </w:rPr>
        <w:t xml:space="preserve"> 56 </w:t>
      </w:r>
      <w:r w:rsidR="00EF55B5" w:rsidRPr="00A8668E">
        <w:rPr>
          <w:rFonts w:ascii="Times New Roman" w:eastAsia="Calibri" w:hAnsi="Times New Roman" w:cs="Times New Roman"/>
          <w:lang w:val="kk-KZ"/>
        </w:rPr>
        <w:t>дана</w:t>
      </w:r>
      <w:r w:rsidRPr="00A8668E">
        <w:rPr>
          <w:rFonts w:ascii="Times New Roman" w:eastAsia="Calibri" w:hAnsi="Times New Roman" w:cs="Times New Roman"/>
        </w:rPr>
        <w:t>.</w:t>
      </w:r>
    </w:p>
    <w:p w:rsidR="00B94AC5" w:rsidRPr="00A8668E" w:rsidRDefault="00EF55B5" w:rsidP="00B94AC5">
      <w:pPr>
        <w:numPr>
          <w:ilvl w:val="0"/>
          <w:numId w:val="2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8668E">
        <w:rPr>
          <w:rFonts w:ascii="Times New Roman" w:eastAsia="Calibri" w:hAnsi="Times New Roman" w:cs="Times New Roman"/>
          <w:lang w:val="kk-KZ"/>
        </w:rPr>
        <w:t>ЭКЕАЖ жасау бағдарламасы шеңберінде</w:t>
      </w:r>
      <w:r w:rsidR="00B94AC5" w:rsidRPr="00A8668E">
        <w:rPr>
          <w:rFonts w:ascii="Times New Roman" w:eastAsia="Calibri" w:hAnsi="Times New Roman" w:cs="Times New Roman"/>
        </w:rPr>
        <w:t xml:space="preserve"> 2016 </w:t>
      </w:r>
      <w:r w:rsidRPr="00A8668E">
        <w:rPr>
          <w:rFonts w:ascii="Times New Roman" w:eastAsia="Calibri" w:hAnsi="Times New Roman" w:cs="Times New Roman"/>
          <w:lang w:val="kk-KZ"/>
        </w:rPr>
        <w:t xml:space="preserve">жылы </w:t>
      </w:r>
      <w:r w:rsidR="00B94AC5" w:rsidRPr="00A8668E">
        <w:rPr>
          <w:rFonts w:ascii="Times New Roman" w:eastAsia="Calibri" w:hAnsi="Times New Roman" w:cs="Times New Roman"/>
        </w:rPr>
        <w:t xml:space="preserve"> 15 000 </w:t>
      </w:r>
      <w:r w:rsidRPr="00A8668E">
        <w:rPr>
          <w:rFonts w:ascii="Times New Roman" w:eastAsia="Calibri" w:hAnsi="Times New Roman" w:cs="Times New Roman"/>
          <w:lang w:val="kk-KZ"/>
        </w:rPr>
        <w:t>дана мөлшерінде тұтынушылардың ЕА-сын орнату бойынша төменгі деңгейдегі жоба іске асырылды</w:t>
      </w:r>
      <w:r w:rsidR="00B94AC5" w:rsidRPr="00A8668E">
        <w:rPr>
          <w:rFonts w:ascii="Times New Roman" w:eastAsia="Calibri" w:hAnsi="Times New Roman" w:cs="Times New Roman"/>
        </w:rPr>
        <w:t>.</w:t>
      </w:r>
    </w:p>
    <w:p w:rsidR="00551E4B" w:rsidRPr="007615C4" w:rsidRDefault="00551E4B" w:rsidP="00551E4B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51E4B" w:rsidRPr="007615C4" w:rsidSect="0043328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65545"/>
    <w:multiLevelType w:val="hybridMultilevel"/>
    <w:tmpl w:val="0A36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FB"/>
    <w:rsid w:val="00010E44"/>
    <w:rsid w:val="00096B8A"/>
    <w:rsid w:val="001009F5"/>
    <w:rsid w:val="00126F12"/>
    <w:rsid w:val="00130F80"/>
    <w:rsid w:val="00131EA4"/>
    <w:rsid w:val="00147F91"/>
    <w:rsid w:val="00166F57"/>
    <w:rsid w:val="00170136"/>
    <w:rsid w:val="001F510E"/>
    <w:rsid w:val="00236204"/>
    <w:rsid w:val="00240806"/>
    <w:rsid w:val="00255E39"/>
    <w:rsid w:val="002D5726"/>
    <w:rsid w:val="002F4704"/>
    <w:rsid w:val="002F56E4"/>
    <w:rsid w:val="00344432"/>
    <w:rsid w:val="0034491D"/>
    <w:rsid w:val="003721F5"/>
    <w:rsid w:val="00377D04"/>
    <w:rsid w:val="00384D91"/>
    <w:rsid w:val="003C7BF3"/>
    <w:rsid w:val="003D29AC"/>
    <w:rsid w:val="003E0D35"/>
    <w:rsid w:val="00433280"/>
    <w:rsid w:val="0044693D"/>
    <w:rsid w:val="0045782B"/>
    <w:rsid w:val="004A4964"/>
    <w:rsid w:val="0050285D"/>
    <w:rsid w:val="00536989"/>
    <w:rsid w:val="00542C39"/>
    <w:rsid w:val="00545F01"/>
    <w:rsid w:val="00551E4B"/>
    <w:rsid w:val="005616DE"/>
    <w:rsid w:val="005653FA"/>
    <w:rsid w:val="00591C9E"/>
    <w:rsid w:val="00656025"/>
    <w:rsid w:val="00676A83"/>
    <w:rsid w:val="007458ED"/>
    <w:rsid w:val="007950D6"/>
    <w:rsid w:val="007A3BB9"/>
    <w:rsid w:val="007A65A6"/>
    <w:rsid w:val="007B77A5"/>
    <w:rsid w:val="007C0543"/>
    <w:rsid w:val="0080351A"/>
    <w:rsid w:val="008C31FB"/>
    <w:rsid w:val="008D000E"/>
    <w:rsid w:val="008E6BFB"/>
    <w:rsid w:val="00960AE1"/>
    <w:rsid w:val="0096240A"/>
    <w:rsid w:val="009639ED"/>
    <w:rsid w:val="00994552"/>
    <w:rsid w:val="009C24B0"/>
    <w:rsid w:val="009E4528"/>
    <w:rsid w:val="00A71191"/>
    <w:rsid w:val="00A8668E"/>
    <w:rsid w:val="00A926B9"/>
    <w:rsid w:val="00AB3232"/>
    <w:rsid w:val="00AE15A1"/>
    <w:rsid w:val="00AE1F44"/>
    <w:rsid w:val="00AF1D7B"/>
    <w:rsid w:val="00B55289"/>
    <w:rsid w:val="00B605E5"/>
    <w:rsid w:val="00B94AC5"/>
    <w:rsid w:val="00BA5C7E"/>
    <w:rsid w:val="00BB6417"/>
    <w:rsid w:val="00BC1FE6"/>
    <w:rsid w:val="00BD7BAA"/>
    <w:rsid w:val="00C00B38"/>
    <w:rsid w:val="00C1617F"/>
    <w:rsid w:val="00C330F7"/>
    <w:rsid w:val="00C47CE2"/>
    <w:rsid w:val="00C67918"/>
    <w:rsid w:val="00C70C5E"/>
    <w:rsid w:val="00C73D35"/>
    <w:rsid w:val="00D02124"/>
    <w:rsid w:val="00D12FBE"/>
    <w:rsid w:val="00D40517"/>
    <w:rsid w:val="00D665E2"/>
    <w:rsid w:val="00D807BB"/>
    <w:rsid w:val="00E46C30"/>
    <w:rsid w:val="00E60E1C"/>
    <w:rsid w:val="00E74197"/>
    <w:rsid w:val="00E76A8A"/>
    <w:rsid w:val="00E82730"/>
    <w:rsid w:val="00EE338F"/>
    <w:rsid w:val="00EF55B5"/>
    <w:rsid w:val="00F85106"/>
    <w:rsid w:val="00FD633F"/>
    <w:rsid w:val="00FE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E"/>
  </w:style>
  <w:style w:type="paragraph" w:styleId="1">
    <w:name w:val="heading 1"/>
    <w:basedOn w:val="a"/>
    <w:link w:val="10"/>
    <w:uiPriority w:val="9"/>
    <w:qFormat/>
    <w:rsid w:val="00126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6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6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mispankulova</cp:lastModifiedBy>
  <cp:revision>6</cp:revision>
  <cp:lastPrinted>2017-03-09T08:20:00Z</cp:lastPrinted>
  <dcterms:created xsi:type="dcterms:W3CDTF">2017-03-13T08:42:00Z</dcterms:created>
  <dcterms:modified xsi:type="dcterms:W3CDTF">2017-03-13T09:10:00Z</dcterms:modified>
</cp:coreProperties>
</file>