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2F" w:rsidRPr="006528DB" w:rsidRDefault="00074D2F" w:rsidP="00E3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28DB">
        <w:rPr>
          <w:rFonts w:ascii="Times New Roman" w:hAnsi="Times New Roman" w:cs="Times New Roman"/>
          <w:b/>
          <w:bCs/>
          <w:sz w:val="24"/>
          <w:szCs w:val="24"/>
        </w:rPr>
        <w:t xml:space="preserve">Отчет о следовании принципам корпоративного управления </w:t>
      </w:r>
    </w:p>
    <w:p w:rsidR="00717824" w:rsidRPr="006528DB" w:rsidRDefault="00074D2F" w:rsidP="00E3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DB">
        <w:rPr>
          <w:rFonts w:ascii="Times New Roman" w:hAnsi="Times New Roman" w:cs="Times New Roman"/>
          <w:b/>
          <w:bCs/>
          <w:sz w:val="24"/>
          <w:szCs w:val="24"/>
        </w:rPr>
        <w:t>АО «</w:t>
      </w:r>
      <w:r w:rsidRPr="006528D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Алатау Жарык Компаниясы</w:t>
      </w:r>
      <w:r w:rsidRPr="006528DB">
        <w:rPr>
          <w:rFonts w:ascii="Times New Roman" w:hAnsi="Times New Roman" w:cs="Times New Roman"/>
          <w:b/>
          <w:bCs/>
          <w:sz w:val="24"/>
          <w:szCs w:val="24"/>
        </w:rPr>
        <w:t xml:space="preserve">» за </w:t>
      </w:r>
      <w:r w:rsidR="00CF0CC7" w:rsidRPr="006528DB">
        <w:rPr>
          <w:rFonts w:ascii="Times New Roman" w:hAnsi="Times New Roman" w:cs="Times New Roman"/>
          <w:b/>
          <w:sz w:val="24"/>
          <w:szCs w:val="24"/>
        </w:rPr>
        <w:t>201</w:t>
      </w:r>
      <w:r w:rsidR="007A7C6C" w:rsidRPr="006528DB">
        <w:rPr>
          <w:rFonts w:ascii="Times New Roman" w:hAnsi="Times New Roman" w:cs="Times New Roman"/>
          <w:b/>
          <w:sz w:val="24"/>
          <w:szCs w:val="24"/>
        </w:rPr>
        <w:t>8</w:t>
      </w:r>
      <w:r w:rsidR="00CF0CC7" w:rsidRPr="006528D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4680"/>
        <w:gridCol w:w="2268"/>
        <w:gridCol w:w="142"/>
        <w:gridCol w:w="7935"/>
      </w:tblGrid>
      <w:tr w:rsidR="009E0605" w:rsidRPr="006528DB" w:rsidTr="006528DB">
        <w:tc>
          <w:tcPr>
            <w:tcW w:w="1135" w:type="dxa"/>
          </w:tcPr>
          <w:p w:rsidR="009E0605" w:rsidRPr="006528DB" w:rsidRDefault="009E0605" w:rsidP="00E309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0605" w:rsidRPr="006528DB" w:rsidRDefault="006528DB" w:rsidP="006528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E0605"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оложения</w:t>
            </w:r>
          </w:p>
          <w:p w:rsidR="009E0605" w:rsidRPr="006528DB" w:rsidRDefault="009E0605" w:rsidP="006528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Кодекса</w:t>
            </w:r>
          </w:p>
        </w:tc>
        <w:tc>
          <w:tcPr>
            <w:tcW w:w="4680" w:type="dxa"/>
          </w:tcPr>
          <w:p w:rsidR="00851C37" w:rsidRPr="006528DB" w:rsidRDefault="00851C37" w:rsidP="00E30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5" w:rsidRPr="006528DB" w:rsidRDefault="009E0605" w:rsidP="00E30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Кодекса</w:t>
            </w:r>
            <w:r w:rsidR="00851C37"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корпоративного управления</w:t>
            </w:r>
          </w:p>
          <w:p w:rsidR="009E0605" w:rsidRPr="006528DB" w:rsidRDefault="009E0605" w:rsidP="00E30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для ДЗО АО «Самрук-Энерго»</w:t>
            </w:r>
          </w:p>
        </w:tc>
        <w:tc>
          <w:tcPr>
            <w:tcW w:w="2268" w:type="dxa"/>
          </w:tcPr>
          <w:p w:rsidR="009E0605" w:rsidRPr="006528DB" w:rsidRDefault="009E0605" w:rsidP="00E3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5" w:rsidRPr="006528DB" w:rsidRDefault="009E0605" w:rsidP="00E3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Соблюдается/Не со</w:t>
            </w:r>
            <w:r w:rsidR="00E309F1"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блюдается/ Частично соблюдается</w:t>
            </w:r>
          </w:p>
        </w:tc>
        <w:tc>
          <w:tcPr>
            <w:tcW w:w="8077" w:type="dxa"/>
            <w:gridSpan w:val="2"/>
          </w:tcPr>
          <w:p w:rsidR="00851C37" w:rsidRPr="006528DB" w:rsidRDefault="00851C37" w:rsidP="00E30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5" w:rsidRPr="006528DB" w:rsidRDefault="009E0605" w:rsidP="00E30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соблюдении/ не соблюдении</w:t>
            </w:r>
          </w:p>
          <w:p w:rsidR="009E0605" w:rsidRPr="006528DB" w:rsidRDefault="009E0605" w:rsidP="00E30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 Кодекса</w:t>
            </w:r>
          </w:p>
        </w:tc>
      </w:tr>
      <w:tr w:rsidR="009E0605" w:rsidRPr="006528DB" w:rsidTr="006528DB">
        <w:tc>
          <w:tcPr>
            <w:tcW w:w="16160" w:type="dxa"/>
            <w:gridSpan w:val="5"/>
          </w:tcPr>
          <w:p w:rsidR="009E0605" w:rsidRPr="006528DB" w:rsidRDefault="009E0605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Правительство как акционер Фонда</w:t>
            </w:r>
          </w:p>
        </w:tc>
      </w:tr>
      <w:tr w:rsidR="00E11A05" w:rsidRPr="006528DB" w:rsidTr="006528DB">
        <w:tc>
          <w:tcPr>
            <w:tcW w:w="1135" w:type="dxa"/>
          </w:tcPr>
          <w:p w:rsidR="00E11A05" w:rsidRPr="006528DB" w:rsidRDefault="00E11A05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4"/>
          </w:tcPr>
          <w:p w:rsidR="00E11A05" w:rsidRPr="006528DB" w:rsidRDefault="00E11A05" w:rsidP="00074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 </w:t>
            </w:r>
          </w:p>
        </w:tc>
      </w:tr>
      <w:tr w:rsidR="00E11A05" w:rsidRPr="006528DB" w:rsidTr="006528DB">
        <w:tc>
          <w:tcPr>
            <w:tcW w:w="16160" w:type="dxa"/>
            <w:gridSpan w:val="5"/>
          </w:tcPr>
          <w:p w:rsidR="00E11A05" w:rsidRPr="006528DB" w:rsidRDefault="00E11A05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Взаимодействие Фонда и организаций. Роль Фонда как национального управляющего холдинга</w:t>
            </w:r>
          </w:p>
        </w:tc>
      </w:tr>
      <w:tr w:rsidR="00E1581C" w:rsidRPr="006528DB" w:rsidTr="006528DB">
        <w:tc>
          <w:tcPr>
            <w:tcW w:w="1135" w:type="dxa"/>
          </w:tcPr>
          <w:p w:rsidR="00E1581C" w:rsidRPr="006528DB" w:rsidRDefault="00E1581C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корпоративного управления в Фонде и организациях обеспечивает надлежащее управление и контроль за их деятельностью и направлена на рост долгосрочной стоимости и устойчивое развитие. Фонд как национальный управляющий холдинг выполняет в отношении своих компаний роль стратегического холдинга. В основе корпоративного управления должны быть эффективность, оперативность и прозрачность.</w:t>
            </w:r>
          </w:p>
        </w:tc>
        <w:tc>
          <w:tcPr>
            <w:tcW w:w="2268" w:type="dxa"/>
          </w:tcPr>
          <w:p w:rsidR="00E1581C" w:rsidRPr="00187830" w:rsidRDefault="00187830" w:rsidP="0018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0">
              <w:rPr>
                <w:rFonts w:ascii="Times New Roman" w:hAnsi="Times New Roman" w:cs="Times New Roman"/>
                <w:sz w:val="24"/>
                <w:szCs w:val="24"/>
              </w:rPr>
              <w:t>Частично соблюдается</w:t>
            </w:r>
          </w:p>
        </w:tc>
        <w:tc>
          <w:tcPr>
            <w:tcW w:w="8077" w:type="dxa"/>
            <w:gridSpan w:val="2"/>
          </w:tcPr>
          <w:p w:rsidR="00E1581C" w:rsidRPr="006528DB" w:rsidRDefault="00657522" w:rsidP="0018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директоров Общества </w:t>
            </w:r>
            <w:r w:rsidRPr="00F20C66">
              <w:rPr>
                <w:rFonts w:ascii="Times New Roman" w:hAnsi="Times New Roman"/>
                <w:sz w:val="24"/>
                <w:szCs w:val="24"/>
              </w:rPr>
              <w:t>осуществлять контроль за эффективностью практики корпоративного управления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81C" w:rsidRPr="006528DB" w:rsidTr="006528DB">
        <w:tc>
          <w:tcPr>
            <w:tcW w:w="1135" w:type="dxa"/>
          </w:tcPr>
          <w:p w:rsidR="00E1581C" w:rsidRPr="006528DB" w:rsidRDefault="001B7E8E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корпоративного управления Фонда и организаций представляет собой совокупность процессов, обеспечивающих управление и контроль за деятельностью Фонда и организаций, а также систему взаимоотношений между исполнительным органом, Советом директоров, акционерами и заинтересованными сторонами. Компетенции органов и порядок принятия решений должны быть четко определены и закреплены в уставе.</w:t>
            </w:r>
          </w:p>
        </w:tc>
        <w:tc>
          <w:tcPr>
            <w:tcW w:w="2268" w:type="dxa"/>
          </w:tcPr>
          <w:p w:rsidR="00E1581C" w:rsidRPr="006528DB" w:rsidRDefault="00187830" w:rsidP="0018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830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8077" w:type="dxa"/>
            <w:gridSpan w:val="2"/>
          </w:tcPr>
          <w:p w:rsidR="00187830" w:rsidRPr="00187830" w:rsidRDefault="00187830" w:rsidP="0018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Обществе система корпоративного управления обеспечивает:</w:t>
            </w:r>
          </w:p>
          <w:p w:rsidR="00187830" w:rsidRPr="00187830" w:rsidRDefault="00187830" w:rsidP="00187830">
            <w:pPr>
              <w:numPr>
                <w:ilvl w:val="0"/>
                <w:numId w:val="13"/>
              </w:numPr>
              <w:tabs>
                <w:tab w:val="left" w:pos="487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соблюдение иерархии порядка рассмотрения вопросов и принятия решений: все вопросы, выносимые на рассмотрение Советом директоров тщательно рассматриваются соответствующими специализированными Комитетами Совета директоров;</w:t>
            </w:r>
          </w:p>
          <w:p w:rsidR="00187830" w:rsidRPr="00187830" w:rsidRDefault="00187830" w:rsidP="00187830">
            <w:pPr>
              <w:numPr>
                <w:ilvl w:val="0"/>
                <w:numId w:val="13"/>
              </w:numPr>
              <w:tabs>
                <w:tab w:val="left" w:pos="487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четкое разграничение полномочий и ответственности между Советом директоров, Правлением, должностными лицами и работниками: компетенции, полномочия и ответственность органов определены Уставом, Положениями о Совете директоров и Правлении;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оложением</w:t>
            </w: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распределении обязанностей и полномочий» четко разграничены зоны ответственности членов 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Общества</w:t>
            </w: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 структурные подразделения Общества осуществляют свою деятельность на основании Положений о подразделениях; на каждую должность разработаны должностные инструкции.</w:t>
            </w:r>
          </w:p>
          <w:p w:rsidR="00187830" w:rsidRPr="00187830" w:rsidRDefault="00187830" w:rsidP="00187830">
            <w:pPr>
              <w:numPr>
                <w:ilvl w:val="0"/>
                <w:numId w:val="13"/>
              </w:numPr>
              <w:tabs>
                <w:tab w:val="left" w:pos="487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Совет директоров и Правление своевременно и качественно принимают решения;</w:t>
            </w:r>
          </w:p>
          <w:p w:rsidR="00E1581C" w:rsidRPr="006528DB" w:rsidRDefault="00187830" w:rsidP="0018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законодательству и внутренним документам Совета директоров и Правления.</w:t>
            </w:r>
          </w:p>
        </w:tc>
      </w:tr>
      <w:tr w:rsidR="00E1581C" w:rsidRPr="006528DB" w:rsidTr="006528DB">
        <w:tc>
          <w:tcPr>
            <w:tcW w:w="1135" w:type="dxa"/>
          </w:tcPr>
          <w:p w:rsidR="00E1581C" w:rsidRPr="006528DB" w:rsidRDefault="001B7E8E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</w:tcPr>
          <w:p w:rsidR="00795A96" w:rsidRPr="006528DB" w:rsidRDefault="00795A96" w:rsidP="00795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участвует в управлении компаниями посредством реализации функций акционера, а также через Совет директоров, в порядке, определенном уставами компаний и настоящим Кодексом. </w:t>
            </w:r>
          </w:p>
          <w:p w:rsidR="00795A96" w:rsidRPr="006528DB" w:rsidRDefault="00795A96" w:rsidP="00795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ежегодно направляет председателю Совета директоров и представителям Фонда в Совете директоров компании ожидания акционера на предстоящий финансовый год. </w:t>
            </w:r>
          </w:p>
          <w:p w:rsidR="00795A96" w:rsidRPr="006528DB" w:rsidRDefault="00795A96" w:rsidP="00795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Советы директоров компаний обладают полной самостоятельностью в принятии решений в рамках своей компетенции, установленной уставом Компании.  </w:t>
            </w:r>
          </w:p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Позиция Фонда по отдельным вопросам доводится через представителей Фонда в Совете директоров Компании.</w:t>
            </w:r>
          </w:p>
        </w:tc>
        <w:tc>
          <w:tcPr>
            <w:tcW w:w="2268" w:type="dxa"/>
          </w:tcPr>
          <w:p w:rsidR="00E1581C" w:rsidRPr="006528DB" w:rsidRDefault="00657522" w:rsidP="006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8077" w:type="dxa"/>
            <w:gridSpan w:val="2"/>
          </w:tcPr>
          <w:p w:rsidR="00E1581C" w:rsidRPr="006528DB" w:rsidRDefault="00E1581C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1C" w:rsidRPr="006528DB" w:rsidTr="006528DB">
        <w:tc>
          <w:tcPr>
            <w:tcW w:w="1135" w:type="dxa"/>
          </w:tcPr>
          <w:p w:rsidR="00E1581C" w:rsidRPr="006528DB" w:rsidRDefault="001B7E8E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95A96" w:rsidRPr="006528DB" w:rsidRDefault="00795A96" w:rsidP="00795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с учетом проведенных обсуждений с компаниями формирует единые политики для компаний, утверждает методические рекомендации и корпоративные стандарты для организаций.</w:t>
            </w:r>
          </w:p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о применении утвержденных Фондом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специфике деятельности организации.</w:t>
            </w:r>
          </w:p>
        </w:tc>
        <w:tc>
          <w:tcPr>
            <w:tcW w:w="2268" w:type="dxa"/>
          </w:tcPr>
          <w:p w:rsidR="00E1581C" w:rsidRPr="006528DB" w:rsidRDefault="00657522" w:rsidP="006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8077" w:type="dxa"/>
            <w:gridSpan w:val="2"/>
          </w:tcPr>
          <w:p w:rsidR="00E1581C" w:rsidRPr="006528DB" w:rsidRDefault="00E1581C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1C" w:rsidRPr="006528DB" w:rsidTr="006528DB">
        <w:tc>
          <w:tcPr>
            <w:tcW w:w="1135" w:type="dxa"/>
          </w:tcPr>
          <w:p w:rsidR="00E1581C" w:rsidRPr="006528DB" w:rsidRDefault="0021674F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Распределение чистого дохода в пользу </w:t>
            </w:r>
            <w:r w:rsidRPr="00657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как акционера осуществляется в форме дивидендов на основе формализованной 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прозрачной дивидендной политики.</w:t>
            </w:r>
          </w:p>
        </w:tc>
        <w:tc>
          <w:tcPr>
            <w:tcW w:w="2268" w:type="dxa"/>
          </w:tcPr>
          <w:p w:rsidR="00E1581C" w:rsidRPr="006528DB" w:rsidRDefault="00657522" w:rsidP="006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  <w:tc>
          <w:tcPr>
            <w:tcW w:w="8077" w:type="dxa"/>
            <w:gridSpan w:val="2"/>
          </w:tcPr>
          <w:p w:rsidR="00E1581C" w:rsidRPr="006528DB" w:rsidRDefault="00E1581C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1C" w:rsidRPr="006528DB" w:rsidTr="006528DB">
        <w:tc>
          <w:tcPr>
            <w:tcW w:w="1135" w:type="dxa"/>
          </w:tcPr>
          <w:p w:rsidR="00E1581C" w:rsidRPr="006528DB" w:rsidRDefault="0021674F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80" w:type="dxa"/>
          </w:tcPr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организациями осуществляется органами организаций в соответствии с компетенциями и порядком, определенными уставом организации. Данный принцип распространяется и на организации с несколькими акционерами (участниками).</w:t>
            </w:r>
          </w:p>
        </w:tc>
        <w:tc>
          <w:tcPr>
            <w:tcW w:w="2268" w:type="dxa"/>
          </w:tcPr>
          <w:p w:rsidR="00E1581C" w:rsidRPr="006528DB" w:rsidRDefault="0021674F" w:rsidP="006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21674F" w:rsidRPr="00C52D4F" w:rsidRDefault="0021674F" w:rsidP="00C52D4F">
            <w:pPr>
              <w:pStyle w:val="a5"/>
              <w:tabs>
                <w:tab w:val="left" w:pos="319"/>
              </w:tabs>
              <w:ind w:left="0"/>
              <w:jc w:val="both"/>
              <w:rPr>
                <w:bCs/>
              </w:rPr>
            </w:pPr>
            <w:r w:rsidRPr="00C52D4F">
              <w:rPr>
                <w:rFonts w:eastAsiaTheme="minorHAnsi"/>
                <w:bCs/>
              </w:rPr>
              <w:t xml:space="preserve">Органами Общества являются: </w:t>
            </w:r>
          </w:p>
          <w:p w:rsidR="0021674F" w:rsidRPr="00C52D4F" w:rsidRDefault="0021674F" w:rsidP="0021674F">
            <w:pPr>
              <w:pStyle w:val="a5"/>
              <w:numPr>
                <w:ilvl w:val="0"/>
                <w:numId w:val="14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HAnsi"/>
                <w:bCs/>
              </w:rPr>
            </w:pPr>
            <w:r w:rsidRPr="00C52D4F">
              <w:rPr>
                <w:rFonts w:eastAsiaTheme="minorHAnsi"/>
                <w:bCs/>
              </w:rPr>
              <w:t xml:space="preserve">Высший орган - единственный акционер, </w:t>
            </w:r>
          </w:p>
          <w:p w:rsidR="0021674F" w:rsidRPr="00C52D4F" w:rsidRDefault="0021674F" w:rsidP="0021674F">
            <w:pPr>
              <w:pStyle w:val="a5"/>
              <w:numPr>
                <w:ilvl w:val="0"/>
                <w:numId w:val="14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HAnsi"/>
                <w:bCs/>
              </w:rPr>
            </w:pPr>
            <w:r w:rsidRPr="00C52D4F">
              <w:rPr>
                <w:rFonts w:eastAsiaTheme="minorHAnsi"/>
                <w:bCs/>
              </w:rPr>
              <w:t xml:space="preserve">Орган управления - Совет директоров, </w:t>
            </w:r>
          </w:p>
          <w:p w:rsidR="0021674F" w:rsidRPr="00C52D4F" w:rsidRDefault="0021674F" w:rsidP="0021674F">
            <w:pPr>
              <w:pStyle w:val="a5"/>
              <w:numPr>
                <w:ilvl w:val="0"/>
                <w:numId w:val="14"/>
              </w:numPr>
              <w:tabs>
                <w:tab w:val="left" w:pos="319"/>
              </w:tabs>
              <w:ind w:left="0" w:firstLine="0"/>
              <w:jc w:val="both"/>
              <w:rPr>
                <w:rFonts w:eastAsiaTheme="minorHAnsi"/>
                <w:bCs/>
              </w:rPr>
            </w:pPr>
            <w:r w:rsidRPr="00C52D4F">
              <w:rPr>
                <w:rFonts w:eastAsiaTheme="minorHAnsi"/>
                <w:bCs/>
              </w:rPr>
              <w:t>Коллегиальный исполнительный орган – Правление, возглавляемое Председателем Правления Общества.</w:t>
            </w:r>
          </w:p>
          <w:p w:rsidR="00E1581C" w:rsidRPr="006528DB" w:rsidRDefault="0021674F" w:rsidP="00216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Компетенция каждого органа и Председателей Совета директоров и Правления определена Уставом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Общества</w:t>
            </w:r>
            <w:r w:rsidRPr="00C52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соответствующими положениями. </w:t>
            </w:r>
          </w:p>
        </w:tc>
      </w:tr>
      <w:tr w:rsidR="00E1581C" w:rsidRPr="006528DB" w:rsidTr="005C71B6">
        <w:trPr>
          <w:trHeight w:val="1693"/>
        </w:trPr>
        <w:tc>
          <w:tcPr>
            <w:tcW w:w="1135" w:type="dxa"/>
          </w:tcPr>
          <w:p w:rsidR="00E1581C" w:rsidRPr="006528DB" w:rsidRDefault="0021674F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795A96" w:rsidRPr="006528DB" w:rsidRDefault="00795A96" w:rsidP="00795A9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Фонд, организации и их должностные лица несут ответственность за рост долгосрочной стоимости и устойчивое развитие Фонда и организаций соответственно, и принимаемые решения и действия/бездействие в порядке, установленном законодательством Республики Казахстан и внутренними документами. </w:t>
            </w:r>
          </w:p>
          <w:p w:rsidR="00795A96" w:rsidRPr="006528DB" w:rsidRDefault="00795A96" w:rsidP="00795A9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 элементом оценки эффективности деятельности Фонда и организаций, исполнительного органа является система КПД. Фонд через своих представителей в Совете директоров направляет компаниям свои ожидания по КПД. Перечень и целевые значения КПД компании утверждаются Советом директоров компании. </w:t>
            </w:r>
          </w:p>
          <w:p w:rsidR="00795A96" w:rsidRPr="006528DB" w:rsidRDefault="00795A96" w:rsidP="00795A9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достижения КПД компании разрабатывают соответствующие планы развития. </w:t>
            </w:r>
          </w:p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ежегодной основе осуществляется оценка достижения КПД Фонда и организаций по сравнению c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планом развития. Данная оценка влияет на вознаграждение руководителя и членов исполнительных органов, принимается во внимание при их переизбрании, а также может явиться основанием для их отстранения от занимаемой должности досрочно.</w:t>
            </w:r>
          </w:p>
        </w:tc>
        <w:tc>
          <w:tcPr>
            <w:tcW w:w="2268" w:type="dxa"/>
          </w:tcPr>
          <w:p w:rsidR="00E1581C" w:rsidRPr="006528DB" w:rsidRDefault="005C71B6" w:rsidP="005C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соблюдается</w:t>
            </w:r>
          </w:p>
        </w:tc>
        <w:tc>
          <w:tcPr>
            <w:tcW w:w="8077" w:type="dxa"/>
            <w:gridSpan w:val="2"/>
          </w:tcPr>
          <w:p w:rsidR="00E1581C" w:rsidRPr="005C71B6" w:rsidRDefault="005C71B6" w:rsidP="005C71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Обществе утверждается среднесрочный План развития.</w:t>
            </w:r>
            <w:r w:rsidRPr="005C71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Оценка деятельности членов Правления осуществляется с применением мотивационных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 КПД, утверждаемые Единственным акционером Общества. </w:t>
            </w:r>
            <w:r w:rsidRPr="005C71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Значения показателей </w:t>
            </w:r>
            <w:r w:rsidRPr="005C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влияют на вознаграждение членов Правления, принимаются во внимание при их переизбрании, а также могут явиться основанием для их отстранения от занимаемой должности досрочно.</w:t>
            </w:r>
          </w:p>
        </w:tc>
      </w:tr>
      <w:tr w:rsidR="00E1581C" w:rsidRPr="006528DB" w:rsidTr="006528DB">
        <w:trPr>
          <w:trHeight w:val="4378"/>
        </w:trPr>
        <w:tc>
          <w:tcPr>
            <w:tcW w:w="1135" w:type="dxa"/>
          </w:tcPr>
          <w:p w:rsidR="00E1581C" w:rsidRPr="006528DB" w:rsidRDefault="0021674F" w:rsidP="00795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80" w:type="dxa"/>
          </w:tcPr>
          <w:p w:rsidR="00E1581C" w:rsidRPr="006528DB" w:rsidRDefault="00795A96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директоров холдинговой компании должен обеспечить эффективность управления, рост долгосрочной стоимости и устойчивое развитие во всех юридических лицах, входящих в ее группу. Результатами эффективного управления в группе холдинговой компании должны стать повышение операционной эффективности, улучшение качества отчетности, улучшенные стандарты корпоративной культуры и этики, большая открытость и прозрачность, снижение рисков, надлежащая система внутреннего контроля.</w:t>
            </w:r>
          </w:p>
        </w:tc>
        <w:tc>
          <w:tcPr>
            <w:tcW w:w="2268" w:type="dxa"/>
          </w:tcPr>
          <w:p w:rsidR="00E1581C" w:rsidRPr="006528DB" w:rsidRDefault="005C71B6" w:rsidP="005C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8077" w:type="dxa"/>
            <w:gridSpan w:val="2"/>
          </w:tcPr>
          <w:p w:rsidR="00E1581C" w:rsidRPr="006528DB" w:rsidRDefault="00E1581C" w:rsidP="007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05" w:rsidRPr="006528DB" w:rsidTr="006528DB">
        <w:tc>
          <w:tcPr>
            <w:tcW w:w="16160" w:type="dxa"/>
            <w:gridSpan w:val="5"/>
          </w:tcPr>
          <w:p w:rsidR="00E11A05" w:rsidRPr="006528DB" w:rsidRDefault="00E11A05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Устойчивое развитие</w:t>
            </w:r>
          </w:p>
        </w:tc>
      </w:tr>
      <w:tr w:rsidR="009E0605" w:rsidRPr="006528DB" w:rsidTr="006528DB">
        <w:tc>
          <w:tcPr>
            <w:tcW w:w="1135" w:type="dxa"/>
          </w:tcPr>
          <w:p w:rsidR="009E0605" w:rsidRPr="006528DB" w:rsidRDefault="00E11A05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8A348F" w:rsidRPr="006528DB" w:rsidRDefault="008A348F" w:rsidP="00894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 и организации осознают важность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влияния на экономику, экологию и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общество и,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стремясь к росту долгосрочной стоимости,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должны обеспечивать свое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ое развитие в долгосрочном пери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оде, соблюдая баланс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интересов заинтересованных сторон. Подход ответственного,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продума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нного и рационального взаимодей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ствия с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заинтересованными сторонами бу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дет способствовать устойчивому развитию</w:t>
            </w:r>
          </w:p>
          <w:p w:rsidR="009E0605" w:rsidRPr="006528DB" w:rsidRDefault="008A348F" w:rsidP="00894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Фонда и организаций.</w:t>
            </w:r>
          </w:p>
        </w:tc>
        <w:tc>
          <w:tcPr>
            <w:tcW w:w="2268" w:type="dxa"/>
          </w:tcPr>
          <w:p w:rsidR="009E0605" w:rsidRPr="006528DB" w:rsidRDefault="009E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5" w:rsidRPr="006528DB" w:rsidRDefault="008A348F" w:rsidP="006B1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4458AF" w:rsidRPr="006528DB" w:rsidRDefault="008A348F" w:rsidP="00894B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Стратегией развития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Единственного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061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кционера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АО «Алатау Жарык Компаниясы» (далее – </w:t>
            </w:r>
            <w:r w:rsidR="005E2061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Общества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определены стратегические цели,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числе которых «Обеспечени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е социальной ответствен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ности бизнеса и устойчивое развитие», включающие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задачи по росту долгосрочной стоимости Компании,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охране окружающей с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реды, безопасности труда, управ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лению персоналом, а также определены КПД в данных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направлениях.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E22" w:rsidRPr="006528DB" w:rsidRDefault="00894B8F" w:rsidP="00894B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73E2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важность своего влияния на экономику, экологию и общество и стремится к росту долгосрочной стоимости, которое должно обеспечивать свое устойчивое развитие в долгосрочном периоде, соблюдая баланс интересов заинтересованных сторон.</w:t>
            </w:r>
          </w:p>
          <w:p w:rsidR="00F73E22" w:rsidRPr="006528DB" w:rsidRDefault="00F73E22" w:rsidP="00894B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качественного и надлежащего внедрения положений Руководства в области устойчивого развития АО «Самрук-Энерго» 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принципов устойчивого развития в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Председателя Правления от 14.02.2017 года №42П создана рабочая группа под председательством Заместителя Председателя Правления по корпоративному развитию и строительству. </w:t>
            </w:r>
          </w:p>
          <w:p w:rsidR="009E0605" w:rsidRPr="006528DB" w:rsidRDefault="00F73E22" w:rsidP="00894B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проведен анализ внутренней и внешней среды, через экономический, экологический и социальный комп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оненты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развития.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целях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определения перечня заинтересованных сторон и степени их влияния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>решением Совета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Общества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от 21.09.2018г. (протокол №05/18) утверждена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Карта стейкхолдеров (Карта 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>заинтересованных сторон).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Карта стейкхолдеров предназначена для систематизации и визуализации информации об окружении</w:t>
            </w:r>
            <w:r w:rsidR="00894B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, для адекватной стратегии работы с каждым из стейкхолдеров. Определение стейкхолдеров и работа с ними является одним из инструментов, который позволяет повышать деловую репутацию бизнеса, капитализацию компании, установить эффективные и сбалансированные  отношение со всеми заинтересованными лицами.</w:t>
            </w:r>
            <w:r w:rsidR="007A7C6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8A348F" w:rsidRPr="006528DB" w:rsidRDefault="008A348F" w:rsidP="00894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 и организации должны стремиться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 росту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долгосрочной стоимости, обеспе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чивая при этом свое устойчивое развитие,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собл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юдать баланс интересов заинтере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сованных сторон. Деятельность в области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ого развития должна соответство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вать лучшим международным стандартам.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8A348F" w:rsidRPr="006528DB" w:rsidRDefault="005C4F6E" w:rsidP="005C4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31) пункта 11.4 статьи 11 Устава Общества, в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й основе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утверждаются Ре</w:t>
            </w:r>
            <w:r w:rsidR="00F73E22" w:rsidRPr="006528DB">
              <w:rPr>
                <w:rFonts w:ascii="Times New Roman" w:hAnsi="Times New Roman" w:cs="Times New Roman"/>
                <w:sz w:val="24"/>
                <w:szCs w:val="24"/>
              </w:rPr>
              <w:t>гистр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 Карта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рисков, в которых предусмотрены предупредительные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и реактивные мероприятия для недопущения реализации рисков по трем аспектам устойчивого развития.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АО «Самрук-Энерго»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утверждено Руководство в области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АО «Самрук-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нерго», в соответствии с которым Совет директоров определяет, пересматривает и утверждает общие принципы деятельности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в обл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>асти устойчивого развития, обе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спечивает</w:t>
            </w:r>
            <w:r w:rsidR="004458A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формирование надлежащей системы в области устойчивого развития и ее внедрение.</w:t>
            </w:r>
          </w:p>
          <w:p w:rsidR="00F73E22" w:rsidRPr="006528DB" w:rsidRDefault="00F73E22" w:rsidP="00E5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рамках внедрения и реализации принципов устойчивого развития в деятельности</w:t>
            </w:r>
            <w:r w:rsidR="001E33E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, Обществом была проведена работа по актуализации Регистра рисков и Карты рисков на 201</w:t>
            </w:r>
            <w:r w:rsidR="001E33EB" w:rsidRPr="00652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год. На основании проведенного анализа по определению рисков в области устойчивого развития, через экономический, экологический и социальный компоненты </w:t>
            </w:r>
            <w:r w:rsidR="001E33EB" w:rsidRPr="006528DB">
              <w:rPr>
                <w:rFonts w:ascii="Times New Roman" w:hAnsi="Times New Roman" w:cs="Times New Roman"/>
                <w:sz w:val="24"/>
                <w:szCs w:val="24"/>
              </w:rPr>
              <w:t>Обществом идентифицирован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21" w:rsidRPr="0065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221" w:rsidRPr="006528DB">
              <w:rPr>
                <w:rFonts w:ascii="Times New Roman" w:hAnsi="Times New Roman" w:cs="Times New Roman"/>
                <w:sz w:val="24"/>
                <w:szCs w:val="24"/>
              </w:rPr>
              <w:t>один)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риск в области устойчивого развития.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A348F" w:rsidRPr="006528DB" w:rsidRDefault="004458A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 и организации должны обеспечить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огласованность своих экономических,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экологических и социальных целей для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развития в долгосрочном периоде, которое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включает, в том числе, рост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долгосрочной </w:t>
            </w:r>
            <w:r w:rsidR="00567172" w:rsidRPr="00652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тоимости для акционеров 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инвесторов. Устойчивое развитие в Фонде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и органи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зации состоит из трех 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оставляю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щих: экон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омической, экологической и соци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альной.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мическая составляющая должна на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ять деятельность Фонда и органи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зации на рост долгосрочной стоимости,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нтересов акционеров и инве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сторов, повышение эффективности процессов, рост инвестиций в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создание и развитие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более совершенных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технологий, повышение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труда.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ическая составляющая должна обе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спечивать минимизацию воздействия на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еские и физические природные си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стемы, 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птимальное использование ограни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ченных ресурсов, применение экологичных,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энерго и материало сберегающих технологий, создание экологически приемлемой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продукции, минимизацию, переработку 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уничтожение отходов.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Социальная составляющая ориентирована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на принципы социальной ответственности,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е в числе прочего включают: обе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спечен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ие безопасности труда и сохране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ние здоровья работников, справедливое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возна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граждение и уважение прав работ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персона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ла, реализацию социальных программ для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персонала, создание новых рабочих мест,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спонсорство и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благотворительность, проведение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и образовательных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Фонд и организации должны проводить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анализ своей деятельности и рисков по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трем данным аспектам, а также стремиться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не допускать 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снижать негативное воздействие результатов своей деятельности на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8F" w:rsidRPr="006528DB"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71434F" w:rsidRPr="006528DB" w:rsidRDefault="008A348F" w:rsidP="00E526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реализацию целей, задач 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достижение индикато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ров в области устойчивого разви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 w:rsidR="00E5261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Плана инициатив в области устойчивого развития Общества на 2018-2019 годы, </w:t>
            </w:r>
            <w:r w:rsidR="00E5261F"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решением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1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директоров Общества от 30.06.2018г. (протокол №04/18).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Все работни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ки и должностные лица на всех уровнях вносят вклад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устойчивое разви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тие. Правление обеспечивает тща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тельный, глубокий и продуманный анализ внутренней 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внешней ситуации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по трем составляющим: экономиче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ской, экологической и социальной, на основе которого</w:t>
            </w:r>
            <w:r w:rsidR="00E5261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обеспечивает форми</w:t>
            </w:r>
            <w:r w:rsidR="0056717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соответствующих планов,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программ для реали</w:t>
            </w:r>
            <w:r w:rsidR="0056717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зации целей, задач и достижения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индикаторов, определенных Советом директоров.</w:t>
            </w:r>
            <w:r w:rsidR="0056717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66183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в целях определения перечня заинтересованных сторон и степени их влияния Обществом разработана и утверждена Советом директоров Общества Карта стейкхолдеров (Карта заинтересованных сторон). Карта стейкхолдеров предназначена для систематизации и визуализации информации об окружении </w:t>
            </w:r>
            <w:r w:rsidR="005315CE" w:rsidRPr="006528D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, для адекватной стратегии работы с каждым из стейкхолдеров. Определение стейкхолдеров и работа с ними является одним из инструментов, который </w:t>
            </w:r>
            <w:r w:rsidR="009446F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позволяет повышать деловую репутацию бизнеса, капитализацию компании, установить эффективные и сбалансированные  отношение со всеми заинтересованными лицами.</w:t>
            </w:r>
            <w:r w:rsidR="009446F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4F" w:rsidRPr="006528DB" w:rsidRDefault="0071434F" w:rsidP="0056717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окружающей среде – ключевой принцип экологической политики компании. Основной вид деятельности Общества не оказывает существенного воздействия на окружающую среду. При этом, Обществом разработана «Политика Общества в области охраны окружающей среды», регулирующая деятельность Общества в рамках экологии и охраны окружающей среды.</w:t>
            </w:r>
          </w:p>
          <w:p w:rsidR="0071434F" w:rsidRPr="006528DB" w:rsidRDefault="009A4C3C" w:rsidP="0056717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Согласно нормативам ПДВ (предельно-допустимый выброс) в Обществе определены стационарные источники выбросов вредных веществ (организованных и неорганизованных). По данному проекту годовые выбросы загрязняющих веществ в атмосферу составляют: по г. Алматы –7,25 т/год, по Алматинской области – 2,20 т/год. Имеются заключения экологической экспертизы, где указано отсутствие превышения предельно допустимых концентраций вредных веществ в обследуемой среде, по всем видам газообразных и летучих соединений.</w:t>
            </w:r>
          </w:p>
          <w:p w:rsidR="0071434F" w:rsidRPr="006528DB" w:rsidRDefault="0071434F" w:rsidP="0056717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экологического законодательства Республики Казахстан ежегодно в производственных зонах Общества проводится инвентаризация парниковых газов, выбрасываемых в рамках деятельности Компании в окружающую среду</w:t>
            </w:r>
            <w:r w:rsidR="00B131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(автотранспорт)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. Отходы производства  утилизируются по их видам согласно заключенным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DD3BE9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говорам со специализированными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организациями. Договора на размещение коммунальных  отходов  подразделениями Компании заключены со специализированными полигонами захоронения твердых бытовых отходов. В целом по предприятию отходы относятся к 3, 4 и 5 классу опасности и разме</w:t>
            </w:r>
            <w:r w:rsidR="00DD3BE9" w:rsidRPr="006528DB">
              <w:rPr>
                <w:rFonts w:ascii="Times New Roman" w:hAnsi="Times New Roman" w:cs="Times New Roman"/>
                <w:sz w:val="24"/>
                <w:szCs w:val="24"/>
              </w:rPr>
              <w:t>щаются в городском полигоне.</w:t>
            </w:r>
          </w:p>
          <w:p w:rsidR="0071434F" w:rsidRPr="006528DB" w:rsidRDefault="0071434F" w:rsidP="0056717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законодательными требованиями,  утвержденным и согласованным с территориальными органами охраны окружающей среды программам производственного экологического контроля в РЭС и промзонах Общества проводится производственный экологический </w:t>
            </w:r>
            <w:r w:rsidR="006B68D6" w:rsidRPr="006528D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воздуха согласно заключенному договору со специализированной организации ТОО «Эко Медиатор». Нормативные показатели, заложенные в проектах нормативов ПДВ, не превышены. По результатам анализа  следует, что за отчетный период на границе санитарно-защитной зоны превышение предельно допустимой концентрации загрязняющих веществ не отмечалось.</w:t>
            </w:r>
          </w:p>
          <w:p w:rsidR="0071434F" w:rsidRPr="006528DB" w:rsidRDefault="0071434F" w:rsidP="00DD3B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6B68D6" w:rsidRPr="0065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год в ходе осуществления деятельности в</w:t>
            </w:r>
            <w:r w:rsidR="00DD3BE9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не наблюдались случаи, связанные со штрафами, наложенными за несоблюдение экологического законодательства Республики Казахстан.</w:t>
            </w:r>
            <w:r w:rsidR="007A7C6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Принципами в области устойчивого развития являются открытость, подотчетность,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ность, этичное поведение, уваже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ние интересов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заинтересованных сторон,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законность, соблюдение прав человека,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нетерпимость к коррупции,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недопустимость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личный пример.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70673C" w:rsidRPr="006528DB" w:rsidRDefault="0070673C" w:rsidP="00DD3B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Руководством в области устойчивого развития АО «Самрук-Энерго» принципами в области устойчивого развития являются: уважение интересов заинтересованных сторон, соблюдение прав человека, открытость, подотчётность, прозрачность, законность, этичное поведение, личный пример, нетерпимость в коррупции, недопустимость конфликта интересов, недопущение сексуальных домогательств и др.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Компании должна быть выстроена система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управления в области устойчивого развития,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которая вклю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чает, но не ограничивается, сле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дующими элементами: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1) приверженность принципам у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стойчиво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звития на уровне Совета директо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и работников;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2) анализ внутренней и внешней ситуации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 тр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ем составляющим (экономика,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логия, социальные вопросы);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3) определение рисков в области устойчивого развития в с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оциальной, экономи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ческой и экологической сферах;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4) построение карты заинтересованных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сторон;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5) определение целей и КПД в области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чивого развития, разработка пла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мероприятий и определение ответ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ственных лиц;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6) интеграция устойчивого развития в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чевые процессы, включая управле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ние рисками, планирование, управление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человеческими ресурсами, инвестиции,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тчетность, операционную деятель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ность и другие, а также в стратегию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развития и процессы принятия решений;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7) повышение квалификации должностных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лиц и работников в области устойчивого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8) регулярный мониторинг и оценка мероприя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тий в области устойчивого разви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тия, оценка достижения целей и КПД,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ятие корректирующих мер, внедре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ние культуры постоянных улучшений.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и исполнительный орган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Компании должны обеспечить формирование над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лежащей системы в области устой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чивого развития и ее внедрение.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Все работники и должностные лица на всех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уровнях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вносят вклад в устойчивое разви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  <w:p w:rsidR="008A348F" w:rsidRPr="006528DB" w:rsidRDefault="008A348F" w:rsidP="0056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Холдинговые компании отвечают за внедрение принципов устойчивого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всей группе.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gridSpan w:val="2"/>
          </w:tcPr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Совет директоров 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АО «Самрук-Энерго»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утвердил Руководство в области</w:t>
            </w:r>
            <w:r w:rsidR="00540EF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развития, содержащее следующие элементы: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1) политика в области устойчивого развития;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2) анализ внутренней и внешней сит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уации по трем со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ставляющим (эко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номика, экология, социальные во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просы);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3) риски в области устойчивого развития в социальной,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6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71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69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экономической и экологической сферах;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4) карта заинтересованных сторон;</w:t>
            </w:r>
          </w:p>
          <w:p w:rsidR="006F0103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5) план </w:t>
            </w:r>
            <w:r w:rsidR="006F010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устойчивого разв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ития </w:t>
            </w:r>
            <w:r w:rsidR="006F010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на 2018-2019 годы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с определением сроков и от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ветственных по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дразделений. 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повышение квалификации должностных лиц и работников в облас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ти устойчивого развития запланировано на 201</w:t>
            </w:r>
            <w:r w:rsidR="009A4C3C" w:rsidRPr="00652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7) исполнение, мониторинг и отчет об исполнении Плана мероприятий;</w:t>
            </w:r>
          </w:p>
          <w:p w:rsidR="008A348F" w:rsidRPr="006528DB" w:rsidRDefault="008A348F" w:rsidP="006528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8) матрица существенности.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</w:tcPr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Компания ежегодно публикует отчетность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области устойчивого развития в целях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обеспечения ясности и прозрачности своей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аинтересованных сторон, с 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>учетом обеспечения защиты инфор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мации,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служебную, коммер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ческую и иную, охраняемую законом, тайну.</w:t>
            </w:r>
          </w:p>
          <w:p w:rsidR="008A348F" w:rsidRPr="006528DB" w:rsidRDefault="008A348F" w:rsidP="00DD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Отчетность в области устойчивого развития</w:t>
            </w:r>
            <w:r w:rsidR="0093564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директоров.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8A348F" w:rsidRPr="006528DB" w:rsidRDefault="008A348F" w:rsidP="006F7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Для обеспечения прозрачности своей деятельности в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области устойчивого развития для заинтересованных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51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сторон, Общество на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F7511" w:rsidRPr="006528DB"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 публикует интегрированный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Отчет (далее – Отчет).</w:t>
            </w:r>
          </w:p>
          <w:p w:rsidR="008A348F" w:rsidRPr="006528DB" w:rsidRDefault="008A348F" w:rsidP="006F7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 разработке Отчета обеспечивается защита информации, составляющей служебную, коммерческую и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иную, охраняемую з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аконом, тайну. Отчет представля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ет собой консолидированную информацию по итогам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деятельности Общества за год, а также информацию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 устойчивому развитию. При подготовке отчета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щество руководст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вуется общепринятыми международ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ными стандартами: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стандарт интегри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рованной отчетности (IIRC), Стандарты по отчетности в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области устойчивого развития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Initiative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(GRI); стандарты серии АА1000. Отчет 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одобряется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решением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утверждается решением </w:t>
            </w:r>
            <w:r w:rsidR="006F7511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Единственного акционера в лице 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АО «Самрук-Энерго», затем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доводится до сведения заинте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ресованных сторон </w:t>
            </w:r>
            <w:r w:rsidR="00337883" w:rsidRPr="006528DB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корпо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ративном веб-сайте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и</w:t>
            </w:r>
            <w:r w:rsidR="00743C42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электронном носителях.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8A34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8A348F" w:rsidRPr="006528DB" w:rsidRDefault="008A348F" w:rsidP="005D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Компания должна стремиться поощрять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способствовать применению принципов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партнерами.</w:t>
            </w:r>
          </w:p>
          <w:p w:rsidR="008A348F" w:rsidRPr="006528DB" w:rsidRDefault="008A348F" w:rsidP="008A34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70673C" w:rsidRPr="006528DB" w:rsidRDefault="0070673C" w:rsidP="00706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2018 г. в типовые договора с поставщиками товаров, работ и услуг включены требования соблюдения законодательства в сфере экологии, безопасности труда, охраны здоровья, трудовых отношений, а также антикоррупционного законодательства. </w:t>
            </w:r>
          </w:p>
          <w:p w:rsidR="0070673C" w:rsidRPr="006528DB" w:rsidRDefault="0070673C" w:rsidP="00706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Кроме того, включены требования соблюдать внутренние правила Компании по безопасности труда, охране здоровья, пожарной безопасности и охране окружающей среды при работах и въезде на территорию объектов компаний Общества.</w:t>
            </w:r>
          </w:p>
          <w:p w:rsidR="00743C42" w:rsidRPr="006528DB" w:rsidRDefault="00743C42" w:rsidP="006A0BE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A348F" w:rsidRPr="006528DB" w:rsidTr="006528DB">
        <w:trPr>
          <w:trHeight w:val="431"/>
        </w:trPr>
        <w:tc>
          <w:tcPr>
            <w:tcW w:w="16160" w:type="dxa"/>
            <w:gridSpan w:val="5"/>
          </w:tcPr>
          <w:p w:rsidR="008A348F" w:rsidRPr="006528DB" w:rsidRDefault="008A348F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Права акционеров и сп</w:t>
            </w:r>
            <w:r w:rsidR="0071434F" w:rsidRPr="0065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раведливое отношение к акционеру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8A348F" w:rsidRPr="006528DB" w:rsidRDefault="008A348F" w:rsidP="00D6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Соблюдение прав акционеров (участников)</w:t>
            </w:r>
          </w:p>
          <w:p w:rsidR="008A348F" w:rsidRPr="006528DB" w:rsidRDefault="008A348F" w:rsidP="00D6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являет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ся ключевым условием для привле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чения инвестиций в Фонд и организации.</w:t>
            </w:r>
          </w:p>
          <w:p w:rsidR="008A348F" w:rsidRPr="006528DB" w:rsidRDefault="008A348F" w:rsidP="00D6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обеспечить реализацию прав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акционеров (участников). При 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личии в организации нескольких акционеров (участников), должно быть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справедливое отношение к каждому из них.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5D18EB" w:rsidRPr="006528DB" w:rsidRDefault="00604DEA" w:rsidP="005D18E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акционером </w:t>
            </w:r>
            <w:r w:rsidR="006F047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является АО «Самрук-Энерго».</w:t>
            </w:r>
            <w:r w:rsidR="00F65A69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48F" w:rsidRPr="006528DB" w:rsidRDefault="008A348F" w:rsidP="005D18E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Согласно Уставу Общества, Единственный акционер Общества имеет право: участвовать в управлении О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ством в порядке, предусмотренном законодательством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РК и Уставом</w:t>
            </w:r>
            <w:r w:rsidR="002D30A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; получать дивиденды; получать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Общества, в том числе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знакомиться с финан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>совой отчетностью Общества в по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рядке, определенном Единственным </w:t>
            </w:r>
            <w:r w:rsidR="00F72EFD" w:rsidRPr="006528DB">
              <w:rPr>
                <w:rFonts w:ascii="Times New Roman" w:hAnsi="Times New Roman" w:cs="Times New Roman"/>
                <w:sz w:val="24"/>
                <w:szCs w:val="24"/>
              </w:rPr>
              <w:t>акционером и/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="002D30A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; получать выписки от регистратора</w:t>
            </w:r>
            <w:r w:rsidR="005D18E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или номинального держателя, подтверждающие его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собст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>венности на ценные бумаги; изби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рать членов Совета директоров Общества; оспаривать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судебном порядке принятые органами Общества решения; получать информацию о деятельности Общества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разрезе аффилированных организаций, в том числе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носящую конфиденциальный характер, в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запросом сроки или не позднее тридцати календарных</w:t>
            </w:r>
            <w:r w:rsidR="00604D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2EFD" w:rsidRPr="006528DB">
              <w:rPr>
                <w:rFonts w:ascii="Times New Roman" w:hAnsi="Times New Roman" w:cs="Times New Roman"/>
                <w:sz w:val="24"/>
                <w:szCs w:val="24"/>
              </w:rPr>
              <w:t>ней с момента получения запроса.</w:t>
            </w:r>
          </w:p>
        </w:tc>
      </w:tr>
      <w:tr w:rsidR="008A348F" w:rsidRPr="006528DB" w:rsidTr="006528DB">
        <w:tc>
          <w:tcPr>
            <w:tcW w:w="1135" w:type="dxa"/>
          </w:tcPr>
          <w:p w:rsidR="008A348F" w:rsidRPr="006528DB" w:rsidRDefault="008A348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8A348F" w:rsidRPr="006528DB" w:rsidRDefault="008A348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компетенции акционеров (участников) определяются согласно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ующему законодательству, учреди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тельным документам и закрепляются в них.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Права акционеров (участников) включают,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но не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ограничиваются своевременным по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лучением информации, достаточной для</w:t>
            </w:r>
          </w:p>
          <w:p w:rsidR="008A348F" w:rsidRPr="006528DB" w:rsidRDefault="008A348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принятия решения, в порядке, установленном законодательством Республики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Казахс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тан, Уставом и внутренними доку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ментами организации в области раскрытия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информации; участием в общем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акционеров (участников) и голосованием</w:t>
            </w:r>
          </w:p>
          <w:p w:rsidR="008A348F" w:rsidRPr="006528DB" w:rsidRDefault="008A348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 вопросам своей компетенции; участием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определении количественного состава,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срока п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олномочий Совета директоров (на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блюдательного совета и исполнительного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органа),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избрании его членов и прекраще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нии их полномочий, а также определении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а и условий выплаты вознагражде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ния; получением дивидендов в размерах и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  <w:r w:rsidR="0071434F" w:rsidRPr="006528DB">
              <w:rPr>
                <w:rFonts w:ascii="Times New Roman" w:hAnsi="Times New Roman" w:cs="Times New Roman"/>
                <w:sz w:val="24"/>
                <w:szCs w:val="24"/>
              </w:rPr>
              <w:t>определяемые решением общего со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брания акционеров (участников) на основе</w:t>
            </w:r>
          </w:p>
          <w:p w:rsidR="008A348F" w:rsidRPr="006528DB" w:rsidRDefault="008A348F" w:rsidP="006F0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ясной и прозрачной дивидендной политики.</w:t>
            </w:r>
          </w:p>
        </w:tc>
        <w:tc>
          <w:tcPr>
            <w:tcW w:w="2268" w:type="dxa"/>
          </w:tcPr>
          <w:p w:rsidR="008A348F" w:rsidRPr="006528DB" w:rsidRDefault="008A348F" w:rsidP="006B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Принципы и порядок взаимодействия с Единственным акционером закреплены в Уставе Общества.</w:t>
            </w:r>
          </w:p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Общество, осознавая свою ответственность перед Единственным акционером:</w:t>
            </w:r>
          </w:p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обеспечивает реализацию прав Единственного акционера в рамках принципов корпоративного управления, направленных на эффективное принятие ключевых решений;</w:t>
            </w:r>
          </w:p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предоставляет достоверную информацию о результатах финансово-хозяйственной деятельности в соответствии с требованиями действующего законодательства Республики Казахстан, Устава, внутренних нормативных документов</w:t>
            </w:r>
            <w:r w:rsidR="006F047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65A69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Единственным акционером ежегодно утверждается Годовой отчет по исполнению Плана развития Общества;</w:t>
            </w:r>
          </w:p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после утверждения порядка распределения чистого дохода и принятия решения о выплате дивидендов, Общество своевременно и в полном объеме выплачивает дивиденды</w:t>
            </w:r>
            <w:r w:rsidR="00F72EFD" w:rsidRPr="00652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4F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согласно утвержденному пакету отчетности, предоставляемого </w:t>
            </w:r>
            <w:r w:rsidR="00694BF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6F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Единственному акционеру, своевременно направляет </w:t>
            </w:r>
            <w:r w:rsidR="00C6771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управленческую и финансовую отчетности;</w:t>
            </w:r>
          </w:p>
          <w:p w:rsidR="00743C42" w:rsidRPr="006528DB" w:rsidRDefault="0071434F" w:rsidP="006F0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предоставляет дополнительные сведения о планах, достижениях, проблемах деятельности, а также аналитические и о деятельности Общества.</w:t>
            </w:r>
            <w:r w:rsidR="00F65A69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48F" w:rsidRPr="006528DB" w:rsidTr="006528DB">
        <w:tc>
          <w:tcPr>
            <w:tcW w:w="16160" w:type="dxa"/>
            <w:gridSpan w:val="5"/>
          </w:tcPr>
          <w:p w:rsidR="008A348F" w:rsidRPr="006528DB" w:rsidRDefault="008A348F" w:rsidP="00652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Эффективность Совета директоров и исполнительного органа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0696E" w:rsidRPr="006528DB" w:rsidRDefault="0090696E" w:rsidP="0023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Совет директоров является органом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управления, подотчетным общему собранию акционеров, обеспечивающим стратегическое руководство организацией и контроль за деятельностью исполнительного органа. </w:t>
            </w:r>
          </w:p>
          <w:p w:rsidR="0090696E" w:rsidRPr="006528DB" w:rsidRDefault="0090696E" w:rsidP="0023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обеспечивает внедрение всех положений настоящего Кодекса. Исполнительный орган подотчетен Совету директоров, осуществляет руководство ежедневной деятельностью организации и обеспечивает ее соответствие стратегии, плану развития и решениям, принятым общим собранием акционеров и Советом директоров. Совет директоров и исполнительный орган должны взаимодействовать в духе сотрудничества, действовать в интересах организации и принимать решения на основе</w:t>
            </w:r>
          </w:p>
          <w:p w:rsidR="0090696E" w:rsidRPr="006528DB" w:rsidRDefault="0090696E" w:rsidP="0023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принципов устойчивого развития и справедливого отношения ко всем акционерам. Совет директоров и исполнительный орган должны обеспечить рост долгосрочной стоимости и устойчивое развитие Компании.</w:t>
            </w:r>
          </w:p>
        </w:tc>
        <w:tc>
          <w:tcPr>
            <w:tcW w:w="2268" w:type="dxa"/>
          </w:tcPr>
          <w:p w:rsidR="0090696E" w:rsidRPr="006528DB" w:rsidRDefault="0090696E" w:rsidP="006B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  <w:p w:rsidR="0090696E" w:rsidRPr="006528DB" w:rsidRDefault="0090696E" w:rsidP="008A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6E" w:rsidRPr="006528DB" w:rsidRDefault="0090696E" w:rsidP="008A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2"/>
          </w:tcPr>
          <w:p w:rsidR="0090696E" w:rsidRPr="006528DB" w:rsidRDefault="0090696E" w:rsidP="0090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Уставом и Положением о Совете директоров, Совет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директоров является органом управления, осуществляющим общее руководство деятельностью Общества, подотчетным Единственному акционеру. Правление подотчетно Совету директоров, осуществляет руководство ежедневной деятельностью и обеспечивает реализацию стратегии, плана  развития и решений, принятых Единственным акционером и Советом директоров. Совет директоров и Правление взаимодействуют в духе сотрудничества, действуют в интересах организации и принимают решения на основе принципов устойчивого развития и справедливого отношения к Акционеру.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должен быть наделен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полномочиями, достаточными для управления организацией и контроля за деятельностью  исполнительного органа. Совет директоров выполняет свои функции согласно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Уставу и уделяет особое внимание следующим вопросам: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1) определению стратегии развития (направления и результаты);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2) постановке и мониторингу ключевых 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плана развития;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организации и надзору за эффективным 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функционированием системы управления рисками и внутреннего контроля;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4) утверждению и мониторингу эффективной реализации крупных инвестиционных и других ключевых стратегических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проектов в рамках компетенции Совета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5) избранию, вознаграждению, планированию преемственности и надзору за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деятельностью руководителя и членов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6) корпоративному управлению и этике;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7) соблюдению в организации положений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Кодекса и корпоративных стандартов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Фонда в области деловой этики (Кодекса деловой этики).</w:t>
            </w:r>
          </w:p>
          <w:p w:rsidR="00C74716" w:rsidRPr="006528DB" w:rsidRDefault="00C74716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16" w:rsidRPr="006528DB" w:rsidRDefault="00C74716" w:rsidP="009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1E1" w:rsidRPr="006528DB" w:rsidRDefault="009651E1" w:rsidP="009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</w:t>
            </w:r>
          </w:p>
          <w:p w:rsidR="0090696E" w:rsidRPr="006528DB" w:rsidRDefault="009651E1" w:rsidP="009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C7471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</w:t>
            </w:r>
            <w:r w:rsidR="009651E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, к исключительной комп</w:t>
            </w:r>
            <w:r w:rsidR="009651E1" w:rsidRPr="006528DB">
              <w:rPr>
                <w:rFonts w:ascii="Times New Roman" w:hAnsi="Times New Roman" w:cs="Times New Roman"/>
                <w:sz w:val="24"/>
                <w:szCs w:val="24"/>
              </w:rPr>
              <w:t>етенции Совета директоров относятся следующие вопросы:</w:t>
            </w:r>
          </w:p>
          <w:p w:rsidR="009651E1" w:rsidRPr="006528DB" w:rsidRDefault="009651E1" w:rsidP="00A17A7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right="-1"/>
              <w:jc w:val="both"/>
            </w:pPr>
            <w:r w:rsidRPr="006528DB">
              <w:t>утверждение программ планирования преемственности членов Правления Общества и иных работников Общества в соответствии с перечнем, утвержденным Советом директоров Общества;</w:t>
            </w:r>
          </w:p>
          <w:p w:rsidR="00C74716" w:rsidRPr="006528DB" w:rsidRDefault="00C74716" w:rsidP="00A17A7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right="-1"/>
              <w:jc w:val="both"/>
            </w:pPr>
            <w:r w:rsidRPr="006528DB">
              <w:t>утверждение показателей эффективности системы управления рисками Общества и ежегодная оценка эффективности системы управления рисками Общества</w:t>
            </w:r>
            <w:r w:rsidR="004C726C" w:rsidRPr="006528DB">
              <w:t>;</w:t>
            </w:r>
          </w:p>
          <w:p w:rsidR="00C74716" w:rsidRPr="006528DB" w:rsidRDefault="00C74716" w:rsidP="00A17A7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right="-1"/>
              <w:jc w:val="both"/>
            </w:pPr>
            <w:r w:rsidRPr="006528DB">
              <w:t>осуществлять контроль за эффективностью практики корпоративного управления в Обществе;</w:t>
            </w:r>
          </w:p>
          <w:p w:rsidR="00C74716" w:rsidRPr="006528DB" w:rsidRDefault="00C74716" w:rsidP="00A17A7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right="-1"/>
              <w:jc w:val="both"/>
            </w:pPr>
            <w:r w:rsidRPr="006528DB">
              <w:t>утверждение кодекса деловой этики Общества, а также обеспечение соблюдения его положений;</w:t>
            </w:r>
          </w:p>
          <w:p w:rsidR="0090696E" w:rsidRPr="006528DB" w:rsidRDefault="0090696E" w:rsidP="0096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6C" w:rsidRPr="006528DB" w:rsidRDefault="004C726C" w:rsidP="004C72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Общества, к исключительной</w:t>
            </w:r>
            <w:r w:rsidR="005D18E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акционе</w:t>
            </w:r>
            <w:r w:rsidR="005D18EB" w:rsidRPr="006528DB">
              <w:rPr>
                <w:rFonts w:ascii="Times New Roman" w:hAnsi="Times New Roman" w:cs="Times New Roman"/>
                <w:sz w:val="24"/>
                <w:szCs w:val="24"/>
              </w:rPr>
              <w:t>ра относятся следующие вопросы:</w:t>
            </w:r>
          </w:p>
          <w:p w:rsidR="004C726C" w:rsidRPr="006528DB" w:rsidRDefault="004C726C" w:rsidP="00A17A70">
            <w:pPr>
              <w:pStyle w:val="a5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firstLine="283"/>
              <w:jc w:val="both"/>
            </w:pPr>
            <w:r w:rsidRPr="006528DB">
              <w:rPr>
                <w:color w:val="000000"/>
                <w:spacing w:val="3"/>
              </w:rPr>
              <w:t xml:space="preserve">определение количественного состава, срока полномочий Правления Общества, избрание его членов и досрочное прекращение их полномочий, а также назначение и досрочное прекращение </w:t>
            </w:r>
            <w:r w:rsidRPr="006528DB">
              <w:rPr>
                <w:color w:val="000000"/>
              </w:rPr>
              <w:t xml:space="preserve">полномочий Председателя Правления Общества, </w:t>
            </w:r>
            <w:r w:rsidRPr="006528DB">
              <w:rPr>
                <w:color w:val="000000"/>
                <w:spacing w:val="1"/>
              </w:rPr>
              <w:t>с последующим досрочным прекращением трудовых отношений в установленном порядке;</w:t>
            </w:r>
          </w:p>
          <w:p w:rsidR="005D18EB" w:rsidRPr="006528DB" w:rsidRDefault="004C726C" w:rsidP="005D18EB">
            <w:pPr>
              <w:pStyle w:val="a5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firstLine="283"/>
              <w:jc w:val="both"/>
            </w:pPr>
            <w:r w:rsidRPr="006528DB">
              <w:t>утверждение стратегии развития Общества, плана развития Общества, а также осуществление мониторинга реализации стратегии развития Общества, исполнения плана развития Общества</w:t>
            </w:r>
            <w:r w:rsidR="00A17A70" w:rsidRPr="006528DB">
              <w:t>;</w:t>
            </w:r>
          </w:p>
          <w:p w:rsidR="00A17A70" w:rsidRPr="006528DB" w:rsidRDefault="00A17A70" w:rsidP="005D18EB">
            <w:pPr>
              <w:pStyle w:val="a5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firstLine="283"/>
              <w:jc w:val="both"/>
            </w:pPr>
            <w:r w:rsidRPr="006528DB">
              <w:t>утверждение мотивационных ключевых показателей деятельности для Председателя правления и членов исполнительного органа Общества, а также осуществ</w:t>
            </w:r>
            <w:r w:rsidR="005D18EB" w:rsidRPr="006528DB">
              <w:t>ление мониторинга их достижения.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</w:tcPr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Члены Совета директоров должны надлежащим образом выполнять свои обязанности и обеспечить рост долгосрочной стоимости и устойчивое развитие организации. Совет директоров организации подотчетен акционерам. Данная подотчетность реализуется через механизм общего собрания акционеров.</w:t>
            </w:r>
          </w:p>
        </w:tc>
        <w:tc>
          <w:tcPr>
            <w:tcW w:w="2268" w:type="dxa"/>
          </w:tcPr>
          <w:p w:rsidR="0090696E" w:rsidRPr="006528DB" w:rsidRDefault="0090696E" w:rsidP="006B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Совете директоров, решения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Единственного акционера, принятые в рамках его компетенции, являются 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для Совета директоров обязатель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ными. Совет директоров 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ежегодно отчитывается о сво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ей деятельности путем предоставления Годового отчета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Компании за прошедший год.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годовом отчете Совета директоров о проделанной работе, представляе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мом на утверждение Общему собра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нию акционеров в составе годового отчета, указывается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информация о: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1) составе Совета директоров, критериях отбора независимых директоров, Председателя Правления и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членов комитетов;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2) информация о каждом директоре;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3) информация о количестве заседаний Совета директоров и его комитетов, а также посещение каждым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директором заседаний;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4) отчет о работе комитетов по выполнению ими функций;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5) рассмотрение информации о работе Совета директоров;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6) оценка позиции Компании и перспектив ее развития;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7) процесс проведения оценки деятельности Совета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директоров;</w:t>
            </w:r>
          </w:p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8) принятые меры по учету Советом директоров мнений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кционера в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Компании.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90696E" w:rsidRPr="006528DB" w:rsidRDefault="0090696E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Совете директоров и его комитетах должен соблюдаться баланс навыков, опыта и знаний, обеспечивающий принятие независимых, объективных и эффективных решений в интересах организации и с учетом справедливого отношения ко всем акционерам и принципов устойчивого развития.</w:t>
            </w:r>
          </w:p>
        </w:tc>
        <w:tc>
          <w:tcPr>
            <w:tcW w:w="2268" w:type="dxa"/>
          </w:tcPr>
          <w:p w:rsidR="0090696E" w:rsidRPr="006528DB" w:rsidRDefault="0090696E" w:rsidP="006B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FF038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>оров сформирован в количестве шести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членов, из которых трое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независимые директора:</w:t>
            </w:r>
          </w:p>
          <w:p w:rsidR="00FF0384" w:rsidRPr="006528DB" w:rsidRDefault="00FF0384" w:rsidP="00FF038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6528DB">
              <w:t>Скуйбеда А.Г.;</w:t>
            </w:r>
          </w:p>
          <w:p w:rsidR="00FF0384" w:rsidRPr="006528DB" w:rsidRDefault="00FF0384" w:rsidP="00FF038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6528DB">
              <w:t>Шаймардан С.Е.;</w:t>
            </w:r>
          </w:p>
          <w:p w:rsidR="00FF0384" w:rsidRPr="006528DB" w:rsidRDefault="00FF0384" w:rsidP="00FF038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6528DB">
              <w:t>Юшин И.В.</w:t>
            </w:r>
          </w:p>
          <w:p w:rsidR="00FF0384" w:rsidRPr="006528DB" w:rsidRDefault="0090696E" w:rsidP="00FF038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Независимые директора являются специал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истами в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, юриспруденции, экономической безопасности,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>, аудита, инже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нерии, стратегическог</w:t>
            </w:r>
            <w:r w:rsidR="00FF038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управления, энергетики, в том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числе развития зеленой энергетики. </w:t>
            </w:r>
          </w:p>
          <w:p w:rsidR="0090696E" w:rsidRPr="006528DB" w:rsidRDefault="00FF0384" w:rsidP="00FF038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Состав Совета диреткоров Общества избран член Совета директоров: А. Акимбаева представитель Единственного акционера,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обладающий глубокими знаниями в сфере экономики и</w:t>
            </w:r>
          </w:p>
          <w:p w:rsidR="0090696E" w:rsidRPr="006528DB" w:rsidRDefault="00FF0384" w:rsidP="00FF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финансов, управления.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Председателем Сов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ета директоров является С. Тютебаев.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бладающий безупречной репутаци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ей, имеющий 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выки и опыт управления в отрас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ли, эффективно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Советом директоров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(по мнению членов Совета директо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ров, по результатам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оценок деятельности Совета директоров).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0696E" w:rsidRPr="006528DB" w:rsidRDefault="0090696E" w:rsidP="007D7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составе Совета директоров необходимо  обеспечить разнообразие по опыту, личностным характеристикам и гендерному составу. В состав Совета директоров должны входить независимые директора, в количестве, достаточном для обеспечения независимости принимаемых решений, и справедливого отношения ко всем акционерам.</w:t>
            </w:r>
          </w:p>
          <w:p w:rsidR="0090696E" w:rsidRPr="006528DB" w:rsidRDefault="0090696E" w:rsidP="007D7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независимых  директоров в составе Совета директоров компании составляет до пятидесяти процентов от общего количества членов Совета директоров.</w:t>
            </w:r>
          </w:p>
        </w:tc>
        <w:tc>
          <w:tcPr>
            <w:tcW w:w="2268" w:type="dxa"/>
          </w:tcPr>
          <w:p w:rsidR="0090696E" w:rsidRPr="006528DB" w:rsidRDefault="0090696E" w:rsidP="006B1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  <w:p w:rsidR="0090696E" w:rsidRPr="006528DB" w:rsidRDefault="0090696E" w:rsidP="0082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2"/>
          </w:tcPr>
          <w:p w:rsidR="008A641C" w:rsidRPr="006528DB" w:rsidRDefault="005D18EB" w:rsidP="008A6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</w:t>
            </w:r>
            <w:r w:rsidR="008A641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с учетом разнообразия по опытам, личностным характеристикам и гендерному составу. Количество независимых директоров в составе Совета директоров составляет 50% от общего количества членов Совета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="008A641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  <w:p w:rsidR="0090696E" w:rsidRPr="006528DB" w:rsidRDefault="0090696E" w:rsidP="008A6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Общее собрание акционеров избирает членов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директоров на основе ясных и прозрачных процедур с учетом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компетенций, навыков,</w:t>
            </w:r>
            <w:r w:rsidR="005D18EB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достижений, деловой репутации и профессионального опыта кандидатов. При переизбрании отдельных членов Совета директоров или его полного состава на новый срок во внимание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принимается их вклад в эффективность деятельности Совета директоров организации.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компания</w:t>
            </w:r>
            <w:r w:rsidR="00A779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х, все голосующие акции которых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принадле</w:t>
            </w:r>
            <w:r w:rsidR="00A779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жат Фонду, существуют следующие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A779E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процесса избрания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членов Совета директоров: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1) председатель Совета директоров избирается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Единственного акционера; в 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случае, если председатель Совета директоров избирается из числа представителей Ф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онда, Советом директоров избира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ется старший независимый директор из числа независимых директоров;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2) процесс поиска и отбора кандидатов в состав Совета директоров осуществляется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Фондом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председателем Сове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 директоров и председателем Комитета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 наз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начениям и вознаграждениям Сове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 директоров компании.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допускаетс</w:t>
            </w:r>
            <w:r w:rsidR="000976A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я участие членов Правительства,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должностны</w:t>
            </w:r>
            <w:r w:rsidR="000976A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х лиц государственных органов в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составе Совета директоров организации.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Срок полномочий членов Совета директоров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совпадает 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со сроком полномочий всего Сове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та директоров и истекает на момент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общим соб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ранием акционеров решения по из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бранию нового состава Совета директоров.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Члены Совета директоров избираются на срок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до трех лет, 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в последующем, при условии удов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летворительных результатов деятельности,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может быть переизбрание еще на срок до трех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Любой с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рок избрания в состав Совета ди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ректоров на срок больше шести лет подряд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(например, два трехлетних срока) подлежит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особому рассмотрению с учетом необходимости качественного обновления состава Совета</w:t>
            </w:r>
          </w:p>
          <w:p w:rsidR="0090696E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Независимый директор не может избираться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Совет директоров более девяти лет подряд.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допускается избрание на срок более девяти лет. Избрание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независимого директора в Совет директоров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должно происходить ежегодно с подробным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ем необходимости избрания данно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го члена Совета директоров и влияния данного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фактора на независимость принятия решений.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 одно лиц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о не должно участвовать в приня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тии решений,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связанных с собственным на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чением, избранием и переизбранием.</w:t>
            </w:r>
          </w:p>
        </w:tc>
        <w:tc>
          <w:tcPr>
            <w:tcW w:w="2268" w:type="dxa"/>
          </w:tcPr>
          <w:p w:rsidR="00A779EA" w:rsidRPr="006528DB" w:rsidRDefault="00A779EA" w:rsidP="00E3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</w:t>
            </w:r>
          </w:p>
          <w:p w:rsidR="0090696E" w:rsidRPr="006528DB" w:rsidRDefault="00A779EA" w:rsidP="00E3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  <w:p w:rsidR="0090696E" w:rsidRPr="006528DB" w:rsidRDefault="0090696E" w:rsidP="00827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2"/>
          </w:tcPr>
          <w:p w:rsidR="005D18EB" w:rsidRPr="006528DB" w:rsidRDefault="0090696E" w:rsidP="005D1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c Уставом, к исключительной компетенции Единственного акционера относится определение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количественного состава, срока полномочий Совета директоров Общества, избрание его членов и досрочное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прекращение их полномочий.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Членом Совета дире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кторов может 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только физиче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ское лицо.</w:t>
            </w:r>
          </w:p>
          <w:p w:rsidR="00A779EA" w:rsidRPr="006528DB" w:rsidRDefault="005D18EB" w:rsidP="00A779EA">
            <w:pPr>
              <w:pStyle w:val="a5"/>
              <w:numPr>
                <w:ilvl w:val="0"/>
                <w:numId w:val="12"/>
              </w:numPr>
              <w:tabs>
                <w:tab w:val="left" w:pos="555"/>
              </w:tabs>
              <w:ind w:left="0" w:firstLine="317"/>
              <w:jc w:val="both"/>
            </w:pPr>
            <w:r w:rsidRPr="006528DB">
              <w:t>Тютебаев Серик Суинбекович – Председатель Совета директоров Общества, представитель Единственного акционера.</w:t>
            </w:r>
            <w:r w:rsidR="00A779EA" w:rsidRPr="006528DB">
              <w:t xml:space="preserve"> В составе Совета директоров старший независимый директор не избран.</w:t>
            </w:r>
          </w:p>
          <w:p w:rsidR="000976A7" w:rsidRPr="006528DB" w:rsidRDefault="000976A7" w:rsidP="00A779EA">
            <w:pPr>
              <w:pStyle w:val="a5"/>
              <w:numPr>
                <w:ilvl w:val="0"/>
                <w:numId w:val="12"/>
              </w:numPr>
              <w:tabs>
                <w:tab w:val="left" w:pos="555"/>
              </w:tabs>
              <w:ind w:left="0" w:firstLine="317"/>
              <w:jc w:val="both"/>
            </w:pPr>
            <w:r w:rsidRPr="006528DB">
              <w:t>Процесс поиска и отбора кандидатов в состав Совета директоров осуществляется Единственным акционером совместно с председателем Совета директоров Общества.</w:t>
            </w:r>
          </w:p>
          <w:p w:rsidR="000976A7" w:rsidRPr="006528DB" w:rsidRDefault="000976A7" w:rsidP="000976A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Совете директоров, члены избираются на срок не более 3 (трех) лет, в последующем, при условии удовлетворительных результатов деятельности, может быть переизбрание еще на срок до 3 (трех) лет. Любой срок избрания в состав Совета директоров на срок больше 6 (шести) лет подряд (например, 2 (два) трехлетних срока) подлежит особому рассмотрению с учетом необходимости качественного обновления состава Совета директоров. Независимый директор не может избираться в Совет директоров более девяти лет подряд. В исключительных случаях допускается избрание на срок более девяти лет. </w:t>
            </w:r>
          </w:p>
          <w:p w:rsidR="00A779EA" w:rsidRPr="006528DB" w:rsidRDefault="000976A7" w:rsidP="0052170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Избрание независимого директора в Совет директоров происходит с подробным разъяснением необходимости избрания данного члена Совета директоров и влияния данного фактора на независимость принятия решений. Ни одно лицо не участвует в принятии решений, связанных с собственным назначением, избранием и переизбранием.</w:t>
            </w:r>
          </w:p>
          <w:p w:rsidR="0090696E" w:rsidRPr="006528DB" w:rsidRDefault="0090696E" w:rsidP="0090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80" w:type="dxa"/>
          </w:tcPr>
          <w:p w:rsidR="0090696E" w:rsidRPr="006528DB" w:rsidRDefault="0090696E" w:rsidP="000C2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утверждает программу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ия в должность для вновь избран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ных членов Совета директоров и программу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для каждого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члена Совета директоров. Корпоративный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арь обеспечивает реализацию данн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ых программ.</w:t>
            </w:r>
          </w:p>
        </w:tc>
        <w:tc>
          <w:tcPr>
            <w:tcW w:w="2268" w:type="dxa"/>
          </w:tcPr>
          <w:p w:rsidR="004537FF" w:rsidRPr="006528DB" w:rsidRDefault="004537FF" w:rsidP="006528DB">
            <w:pPr>
              <w:tabs>
                <w:tab w:val="left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Частично</w:t>
            </w:r>
          </w:p>
          <w:p w:rsidR="0090696E" w:rsidRPr="006528DB" w:rsidRDefault="004537FF" w:rsidP="006528DB">
            <w:pPr>
              <w:tabs>
                <w:tab w:val="left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CD56AA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директоров Общества от 26.05.2017г. (протокол №5) утверждена 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>Программа введения в долж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ность для вновь избранных членов Совета директоров.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поративным секретарем обеспечивается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Программы введения в должность избранными новыми</w:t>
            </w:r>
            <w:r w:rsidR="00D2152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членами Совета директоров.</w:t>
            </w:r>
          </w:p>
          <w:p w:rsidR="004537FF" w:rsidRPr="006528DB" w:rsidRDefault="004537FF" w:rsidP="00453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развития для членов Совета директоров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утверждена.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90696E" w:rsidRPr="006528DB" w:rsidRDefault="0090696E" w:rsidP="000C2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отвечает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общее руководство Советом директоров,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чивает полную и эффективную реа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лизацию Советом директоров его основных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и построение конструктивного ди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алога между членами Совета директоров,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крупными акционерами и исполнительным органом.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Положением о Совете директоров,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 отвечает за общее ру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ководство Советом директоров, обеспечивает полную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эффективную реализацию Советом директоров его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функций и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конструктивного диа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 между членами Совета директоров, Акционером и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Правлением.</w:t>
            </w:r>
          </w:p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директоров:</w:t>
            </w:r>
          </w:p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несет ответственнос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за руководство Советом дирек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торов, обеспечивает его эффективную деятельность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аспектам сф</w:t>
            </w:r>
            <w:r w:rsidR="00D2152C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 его ответственности, обеспе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чивает эффективную связь с Акционером;</w:t>
            </w:r>
          </w:p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несет ответственность за обеспечение соответствующего диалога с Акционером;</w:t>
            </w:r>
          </w:p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эффективный вклад членов Совета директоров в деяте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Совета директоров и кон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структивные отнош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между членами Совета дирек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Правлением;</w:t>
            </w:r>
          </w:p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эффективное взаимодействие с Акционером, а также доведение точки зрения Акционера до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16B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директоров в целом.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80" w:type="dxa"/>
          </w:tcPr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Роль и функции председателя Совета директоров и руководителя исполнительного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органа должны быть четко разграничены и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ны в Уставе организации, положе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ниях о 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Совете директоров и исполнитель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ном органе. 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71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Роль и функции председателя Совета директоров и руководителя исполнит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ельного органа четко разграниче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ны Уставом,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Совете директоров </w:t>
            </w:r>
            <w:r w:rsidR="00DA7A9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 Положением о Правлении </w:t>
            </w:r>
            <w:r w:rsidR="00DA7A92" w:rsidRPr="006528D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90696E" w:rsidRPr="006528DB" w:rsidRDefault="0090696E" w:rsidP="00CF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Уровень вознаграждения членов Совета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 должен быть достаточным для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привлечения, удержания и мотивирования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каждого члена Совета директоров такого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уровня, который требуется для успешного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управления организацией. Установление</w:t>
            </w:r>
          </w:p>
          <w:p w:rsidR="0090696E" w:rsidRPr="006528DB" w:rsidRDefault="0090696E" w:rsidP="00CF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вознаграждения члену Совета директоров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изации осуществляется в соответ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ствии с методологией, разрабатываемой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Фондом, при этом должен приниматься во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ание ожидаемый положительный эф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фект для организации от участия данного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лица в составе Совета директоров. В организациях с несколькими акционерами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ющие правила вознаграждения чле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нов Совета директоров разрабатываются на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основе методологии Фонда и утверждаются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общим собранием акционеров. Комитет по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иям и вознаграждениям Совета ди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ректоров организации вносит предложения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 размеру вознаграждения кандидатов в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независимые директора.</w:t>
            </w:r>
          </w:p>
          <w:p w:rsidR="0090696E" w:rsidRPr="006528DB" w:rsidRDefault="0090696E" w:rsidP="00CF3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 одно л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ицо не должно участвовать в при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нятии решений, связанных с собственным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вознаграждением.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A1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выплачивается только независимым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директорам и со</w:t>
            </w:r>
            <w:r w:rsidR="00A11A1B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стоит из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 </w:t>
            </w:r>
            <w:r w:rsidR="00A11A1B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фиксированного годового вознаграждения.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участия независимого директора менее чем в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половине всех проведенных очных и заочных заседаний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директоров в 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 периоде (без уважитель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причин) фиксиров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анное вознаграждение не выпла</w:t>
            </w:r>
            <w:r w:rsidR="00A11A1B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чивается.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Члену Совета директоров также компенсируются расходы, связанные с вы</w:t>
            </w:r>
            <w:r w:rsidR="000C2212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ездом на заседания Совета дирек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торов.</w:t>
            </w:r>
            <w:r w:rsidR="00A11A1B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A1B" w:rsidRPr="006528DB">
              <w:rPr>
                <w:rFonts w:ascii="Times New Roman" w:hAnsi="Times New Roman" w:cs="Times New Roman"/>
                <w:sz w:val="24"/>
                <w:szCs w:val="24"/>
              </w:rPr>
              <w:t>Ни одно лицо не участвует в принятии решений, связанных с собственным вознаграждением.</w:t>
            </w:r>
          </w:p>
          <w:p w:rsidR="0090696E" w:rsidRPr="006528DB" w:rsidRDefault="0090696E" w:rsidP="0090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6E" w:rsidRPr="006528DB" w:rsidRDefault="0090696E" w:rsidP="0090696E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0" w:type="dxa"/>
          </w:tcPr>
          <w:p w:rsidR="0090696E" w:rsidRPr="006528DB" w:rsidRDefault="0090696E" w:rsidP="00A1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Комитеты Совета директоров способствуют гл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убокому и тщательному рассмотре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нию вопросов, входящих в компетенцию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Совета директоров и повышению качества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принимаемых решений, в особенности по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таким н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аправлениям, как аудит, управле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ние рисками, надлежащее и эффективное</w:t>
            </w:r>
          </w:p>
          <w:p w:rsidR="0090696E" w:rsidRPr="006528DB" w:rsidRDefault="0090696E" w:rsidP="00A1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применение Правил закупок товаров, работ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 услуг, 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назначение и вознаграждение чле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нов Совета директоров и исполнительного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органа, устойчивое развитие, в том числе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труда и окружающей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среды. Наличие комитетов не освобождает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директоров от ответственности за 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принятые решения в рамках компе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тенции Совета директоров.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A1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принимает окончательное решение по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выносимым вопросам, члены Совета директоров несут</w:t>
            </w:r>
            <w:r w:rsidR="00353C84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принятые ими решения.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 осуществле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 и ус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луг Общество</w:t>
            </w:r>
            <w:r w:rsidR="000C221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Правилами заку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пок Фонда, утвержденными Советом директоров</w:t>
            </w:r>
          </w:p>
          <w:p w:rsidR="0090696E" w:rsidRPr="006528DB" w:rsidRDefault="0090696E" w:rsidP="00A1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АО «Самрук-Қазына».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90696E" w:rsidRPr="006528DB" w:rsidRDefault="0090696E" w:rsidP="00353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</w:t>
            </w:r>
          </w:p>
          <w:p w:rsidR="0090696E" w:rsidRPr="006528DB" w:rsidRDefault="0090696E" w:rsidP="00453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должны способствовать максимальной результативности его деятельности. Для 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ыполнения своих обязанностей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директоров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иметь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полной, актуальной и своевремен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ной информации.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проводит регулярные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заседания для эффективного выполнения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функций. Заседания Совета дирек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торов проводятся в соответствии с планом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ы, утверждаемым до начала кален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дарного 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года. Проведение заседаний Сове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 директ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оров и его Комитетов осуществля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ется посредством очной или заочной форм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ния, при этом количество заседа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ний с 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заочной формой голосования долж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 быть минимизировано. Рассмотрение и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вопросам важного и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стратегического характера осуществляется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только на заседаниях Совета директоров с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очной формой г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олосования. В особых слу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чаях возможно сочетание обеих форм заседания Совета директоров и его Комитетов.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Заседан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ия Совета директоров и его Коми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тетов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протоколиру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ются К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орпоративным секретарем с указа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нием в полном объеме итогов обсуждений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принятых решений.</w:t>
            </w:r>
          </w:p>
        </w:tc>
        <w:tc>
          <w:tcPr>
            <w:tcW w:w="2268" w:type="dxa"/>
          </w:tcPr>
          <w:p w:rsid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  <w:p w:rsidR="0090696E" w:rsidRPr="006528DB" w:rsidRDefault="0090696E" w:rsidP="0065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2"/>
          </w:tcPr>
          <w:p w:rsidR="0090696E" w:rsidRPr="006528DB" w:rsidRDefault="0090696E" w:rsidP="00353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Материалы и информация по вопросам предстоящего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заседания Совета директоров заранее (за 10 дней до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начала заседания) н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аправляются Корпоративным секре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тарем членам Совета директоров.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 утверждается План работы с указанием предполагаемых дат проведения заседаний на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предстоящий год. Все заседания Совета директоров подр</w:t>
            </w:r>
            <w:r w:rsidR="0065594C" w:rsidRPr="006528DB">
              <w:rPr>
                <w:rFonts w:ascii="Times New Roman" w:hAnsi="Times New Roman" w:cs="Times New Roman"/>
                <w:sz w:val="24"/>
                <w:szCs w:val="24"/>
              </w:rPr>
              <w:t>обно протоколируются Корпоратив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ным се</w:t>
            </w:r>
            <w:r w:rsidR="00353C84" w:rsidRPr="006528DB">
              <w:rPr>
                <w:rFonts w:ascii="Times New Roman" w:hAnsi="Times New Roman" w:cs="Times New Roman"/>
                <w:sz w:val="24"/>
                <w:szCs w:val="24"/>
              </w:rPr>
              <w:t>кретарем.</w:t>
            </w:r>
          </w:p>
        </w:tc>
      </w:tr>
      <w:tr w:rsidR="004537FF" w:rsidRPr="006528DB" w:rsidTr="006528DB">
        <w:tc>
          <w:tcPr>
            <w:tcW w:w="1135" w:type="dxa"/>
          </w:tcPr>
          <w:p w:rsidR="004537FF" w:rsidRPr="006528DB" w:rsidRDefault="004537F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680" w:type="dxa"/>
          </w:tcPr>
          <w:p w:rsidR="004537FF" w:rsidRPr="006528DB" w:rsidRDefault="004537FF" w:rsidP="00323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директоров, комитеты и члены Совета директоров должны оцениваться на ежегодной основе в рамках структурированного процесса, утвержденного Советом директоров организации. Данный процесс должен соответствовать методологии Фонда. При этом не реже одного раза в три года оценка проводится с привлечением независимой профессиональной организации.</w:t>
            </w:r>
          </w:p>
        </w:tc>
        <w:tc>
          <w:tcPr>
            <w:tcW w:w="2268" w:type="dxa"/>
          </w:tcPr>
          <w:p w:rsidR="004537FF" w:rsidRPr="006528DB" w:rsidRDefault="004537FF" w:rsidP="00E3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Частично соблюдается</w:t>
            </w:r>
          </w:p>
        </w:tc>
        <w:tc>
          <w:tcPr>
            <w:tcW w:w="8077" w:type="dxa"/>
            <w:gridSpan w:val="2"/>
            <w:vMerge w:val="restart"/>
          </w:tcPr>
          <w:p w:rsidR="004537FF" w:rsidRPr="006528DB" w:rsidRDefault="004537FF" w:rsidP="00CC377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Решением Совета директоров Общества от 23.06.2017г. (протокол №3) утверждено положение о проведении оценки деятельности Совета директоров, комитетов Совета директоров и каждого члена Совета директоров Общества разработанным на основе методологии Фонда.</w:t>
            </w:r>
          </w:p>
          <w:p w:rsidR="004537FF" w:rsidRPr="006528DB" w:rsidRDefault="004537FF" w:rsidP="006E7A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1 квартале 2019г. Советом директоров Общества будет проведена самооценка деятельности Совета директоров, его комитетов, путем анкетирования согласно положению о проведении оценки деятельности Совета директоров, комитетов Совета директоров и каждого члена Совета директоров Общества по итогу 2018г.</w:t>
            </w:r>
          </w:p>
          <w:p w:rsidR="004537FF" w:rsidRPr="006528DB" w:rsidRDefault="004537FF" w:rsidP="004537F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анализа полученных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результатов будут приняты меры по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эффективности Совета директоров, Комитетов.  </w:t>
            </w:r>
          </w:p>
          <w:p w:rsidR="004537FF" w:rsidRPr="006528DB" w:rsidRDefault="004537FF" w:rsidP="006E7A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Совета директоров Общества с привлечением независимой профессиональной организации не проводится.</w:t>
            </w:r>
          </w:p>
        </w:tc>
      </w:tr>
      <w:tr w:rsidR="004537FF" w:rsidRPr="006528DB" w:rsidTr="006528DB">
        <w:tc>
          <w:tcPr>
            <w:tcW w:w="1135" w:type="dxa"/>
          </w:tcPr>
          <w:p w:rsidR="004537FF" w:rsidRPr="006528DB" w:rsidRDefault="004537FF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4537FF" w:rsidRPr="006528DB" w:rsidRDefault="004537FF" w:rsidP="00CC3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должна позволять определять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Совета директоров и каждого из его членов в рост долгосрочной стоимости и устойчивое развитие организации, а также выявлять направления и рекомендовать меры для улучшений. Результаты оценки принимаются во внимание при переизбрании или досрочном прекращении полномочий членов Совета директоров.</w:t>
            </w:r>
          </w:p>
        </w:tc>
        <w:tc>
          <w:tcPr>
            <w:tcW w:w="2268" w:type="dxa"/>
          </w:tcPr>
          <w:p w:rsidR="004537FF" w:rsidRPr="006528DB" w:rsidRDefault="004537FF" w:rsidP="00E3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</w:t>
            </w:r>
          </w:p>
          <w:p w:rsidR="004537FF" w:rsidRPr="006528DB" w:rsidRDefault="004537FF" w:rsidP="00E3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  <w:vMerge/>
          </w:tcPr>
          <w:p w:rsidR="004537FF" w:rsidRPr="006528DB" w:rsidRDefault="004537FF" w:rsidP="00323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0" w:type="dxa"/>
          </w:tcPr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целях эффективной организации деятельности Совета директоров и взаимодействия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Совета д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иректоров, исполнительного орга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ионерами, Советом директоров 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значается Корпоративный секретарь.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принимает решение 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назначении Корпоративного секретаря,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определяет срок его полномочий, функции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порядок деятельности, размер должностного оклада и условия вознаграждения,</w:t>
            </w:r>
          </w:p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принимает решение о создании службы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(секрета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риата) Корпоративного секретаря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определяет бюджет указанной службы.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Корпоративный секретарь подотчетен Совету директоров и независим от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тельного органа. Основные обязанности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Корпо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ративного секретаря включают со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действие в своевременном и качественном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ии корпоративных решений со сто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роны Совета директоров, Единственного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акционера, выполнение роли советника для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членов Совет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а директоров по всем вопро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сам их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еятельности и применения положе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ний настоящего Кодекса, а также мониторинг за реализацией настоящего Кодекса 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совершенствовании корпоратив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ного управления. Корпоративный секретарь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также осуществляет подготовку отчета о</w:t>
            </w:r>
          </w:p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соблюдении принципов и положений настоящего Кодекса, который включается в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состав 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дового отчета. Данный отчет дол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жен соде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ржать перечень принципов и поло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жений Кодекса, которые не соблюдаются, с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приведением соответствующих объяснений.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ми, Совет директо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ров принимает решение о назначе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нии Корпоративного секретаря, определяет срок его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полномочий, функции и порядок деятельности, размер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должностного оклада и условия вознаграждения.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поративный секретарь полностью подотчетен Совету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директоров. Корпоративный секретарь 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>Общества назначен в 2012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г., осуществляет контроль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заседаний Совета директоров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Компании, обеспечения формирования материалов к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заседанию Совета директоров, ведение контроля за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обеспечением доступ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а к ним.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Основные обязанн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ости Корпоративного секретаря –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содействие в своевременном и качественном принятии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корпоративных р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ешений Советом директоров, Един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ственного акционера, выполнение роли советника для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членов Совета директоров по всем вопросам их деятельности.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Общества от (протокол №) утверждено Положение о Корпоративном секретаре Общества которое соответствует Кодексу корпоративного управления. Согласно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Положение о Кор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>поративном секретаре, Корпоративный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ь, осуществляет мониторинг за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реализацией Кодекса корпоративного управления, участия в совершенствовании корпоративного управления,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отчета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о соблюдении принципов и положе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ний Кодекса, который включается в состав Годового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680" w:type="dxa"/>
          </w:tcPr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компа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ниях создается коллегиальный 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сполнительный орган, в остальных организациях, а также в случае создания компании – совместного предприятия, он может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быть коллегиальным или единоличным, по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усмотрению акционеров. Руководитель 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члены исполнительного органа должны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обладать высокими профессиональными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личнос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тными характеристиками, а также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безупречную деловую репутацию 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придерживаться высоких этических стандартов.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Правление является коллегиальным исполнительным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органом Компании 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руководство ее те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кущей деятельностью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состоит из 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ловек. Все </w:t>
            </w:r>
            <w:r w:rsidR="004F416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члены Правления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обладают высокопрофессиональными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навыками и опытом у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правления в сфере финансов, пра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ва, инженерии, энергетики, корпоративного управления,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закупок, имеют безупречную репутацию и высокий стаж.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и членов Правления четко опреде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лены Уставом, Положением о Правлении, Приказом «О</w:t>
            </w:r>
          </w:p>
          <w:p w:rsidR="0090696E" w:rsidRPr="006528DB" w:rsidRDefault="0090696E" w:rsidP="004F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распределении обязанностей и полномочий».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90696E" w:rsidRPr="006528DB" w:rsidRDefault="0090696E" w:rsidP="00E5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подотчетен Совету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 и осуществляет руководство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ежедневной деятельностью организации,</w:t>
            </w:r>
          </w:p>
          <w:p w:rsidR="0090696E" w:rsidRPr="006528DB" w:rsidRDefault="0090696E" w:rsidP="00E5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реализацию стратегии, плана развития и решений, принятых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 и общим собранием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акционеров.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E5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Правление осуществляет руководство текущей деятельностью, подотчетно Совету директоров, ответственно за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стратегии, План развития, </w:t>
            </w:r>
            <w:r w:rsidR="00E563C5" w:rsidRPr="0065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также за ре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ализацию решений, принятых Един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ственным акционером, Советом директоров.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90696E" w:rsidRPr="006528DB" w:rsidRDefault="0090696E" w:rsidP="00343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избирает руководителя 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членов исполнительного органа, определяет сроки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олномочий, размер должностного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оклада, условия оплаты их труда. Ключевую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роль в процессе поиска 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 кандидатов в состав исполнительного органа, определении их вознаграждения играет Комитет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 назначениям и вознаграждениям Совета</w:t>
            </w:r>
          </w:p>
          <w:p w:rsidR="0090696E" w:rsidRPr="006528DB" w:rsidRDefault="00343529" w:rsidP="00343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организации.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Предложения по кандидатам на избрание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в состав коллегиального исполнительного органа на рассмотрение Комитета по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назначениям и вознаграждениям Совета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 вносит руководитель исполнительного органа. В случае отклонения Советом директоров кандидата, предложенного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руководителем исполнительного органа на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одну и ту же вакантную должность в исполнител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ьный орган во второй раз, право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на внесе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ние предложения по кандидату на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данную вакантную должность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 к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Совету директоров.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может в любое время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прекратить полномочия руководителя и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членов исполнительного органа.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Рекомендуется избирать руководителя и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членов исполнительного органа организации сроком до трех лет. Сроки полномочий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руководителя и членов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органа совпадают со сроком полномочий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в целом.</w:t>
            </w:r>
          </w:p>
        </w:tc>
        <w:tc>
          <w:tcPr>
            <w:tcW w:w="2268" w:type="dxa"/>
          </w:tcPr>
          <w:p w:rsidR="0090696E" w:rsidRPr="006528DB" w:rsidRDefault="00343529" w:rsidP="0034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8077" w:type="dxa"/>
            <w:gridSpan w:val="2"/>
          </w:tcPr>
          <w:p w:rsidR="00FB5211" w:rsidRPr="006528DB" w:rsidRDefault="0090696E" w:rsidP="00FB5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FB521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подпунктом 8) пункта 10.1 статьи 10 Устава Общества к исключительной компетенции Единственного акционера относится </w:t>
            </w:r>
            <w:r w:rsidR="00FB5211" w:rsidRPr="006528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определение количественного состава, срока полномочий Правления Общества, избрание его членов и досрочное прекращение их полномочий, а также назначение и досрочное прекращение </w:t>
            </w:r>
            <w:r w:rsidR="00FB5211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Председателя </w:t>
            </w:r>
            <w:r w:rsidR="00FB5211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Правления Общества, </w:t>
            </w:r>
            <w:r w:rsidR="00FB5211" w:rsidRPr="006528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последующим досрочным прекращением трудовых отношений в установленном порядке</w:t>
            </w:r>
            <w:r w:rsidR="00FB5211" w:rsidRPr="0065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11" w:rsidRPr="006528DB" w:rsidRDefault="00FB5211" w:rsidP="0090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6E" w:rsidRPr="006528DB" w:rsidRDefault="0090696E" w:rsidP="00773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680" w:type="dxa"/>
          </w:tcPr>
          <w:p w:rsidR="0090696E" w:rsidRPr="006528DB" w:rsidRDefault="0090696E" w:rsidP="00FB5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Кандидатура на должность первого руководителя Компании согласовывается с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Прези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дентом или Администрацией Прези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дента Рес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публики Казахстан в случае вклю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чения Компании в соответствующий список,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утвержденный Указом Президента Республики Казахстан.</w:t>
            </w:r>
          </w:p>
          <w:p w:rsidR="0090696E" w:rsidRPr="006528DB" w:rsidRDefault="0090696E" w:rsidP="00FB5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таком случае в Компаниях применяется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Кодексом порядок поиска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избрания руководителя исполнительного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органа.</w:t>
            </w:r>
          </w:p>
        </w:tc>
        <w:tc>
          <w:tcPr>
            <w:tcW w:w="2268" w:type="dxa"/>
          </w:tcPr>
          <w:p w:rsidR="0090696E" w:rsidRPr="006528DB" w:rsidRDefault="00FB5211" w:rsidP="00FB5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773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680" w:type="dxa"/>
          </w:tcPr>
          <w:p w:rsidR="0090696E" w:rsidRPr="006528DB" w:rsidRDefault="0090696E" w:rsidP="00FB5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исполнительного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органа оцениваются Советом директоров.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ым критерием оценки является до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стижение поставленных КПД.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ационные КПД руководителя и чле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нов исполнительного органа утверждаются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Предложения в части мотивационных КПД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членов исполнительного органа на рассмотрение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Совету директоров вносит руково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дитель исполнительного органа.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Результаты оценки оказывают влияние на</w:t>
            </w:r>
          </w:p>
          <w:p w:rsidR="0090696E" w:rsidRPr="006528DB" w:rsidRDefault="0090696E" w:rsidP="00FB5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вознаграждения, поощрение, переизбрание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(назначение) или досрочное пре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кращение полномочий.</w:t>
            </w:r>
          </w:p>
        </w:tc>
        <w:tc>
          <w:tcPr>
            <w:tcW w:w="2268" w:type="dxa"/>
          </w:tcPr>
          <w:p w:rsidR="0090696E" w:rsidRPr="006528DB" w:rsidRDefault="00FB5211" w:rsidP="00FB5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8077" w:type="dxa"/>
            <w:gridSpan w:val="2"/>
          </w:tcPr>
          <w:p w:rsidR="00FB5211" w:rsidRPr="006528DB" w:rsidRDefault="0090696E" w:rsidP="001A5286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B5211" w:rsidRPr="006528DB">
              <w:rPr>
                <w:rFonts w:ascii="Times New Roman" w:hAnsi="Times New Roman" w:cs="Times New Roman"/>
                <w:sz w:val="24"/>
                <w:szCs w:val="24"/>
              </w:rPr>
              <w:t>подпунктом 26) пункта 10.1 статьи 10 Устава Общества к исключительной компетенции Единственного акционера относится утверждение мотивационных ключевых показателей деятельности для Председателя правления и членов исполнительного органа Общества, а также осуществление мониторинга их достижения.</w:t>
            </w:r>
          </w:p>
          <w:p w:rsidR="0090696E" w:rsidRPr="006528DB" w:rsidRDefault="001A5286" w:rsidP="001A5286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14) пункта 10.1 статьи 10 Устава Общества к исключительной компетенции Единственного акционера относится определение размеров должностных окладов и условий оплаты труда и премирования Председателя правления и членов исполнительного органа Общества.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90696E" w:rsidRPr="006528DB" w:rsidRDefault="0090696E" w:rsidP="001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Случаи нарушения норм Кодекса деловой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этики со стороны членов исполнительного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органа должны доводиться руководителем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ельного органа до сведения Сове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 директоров.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Член исполнительного органа, допустивший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нарушение норм Кодекса деловой этики, не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может б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ыть членом исполнительного орга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 любой другой организации.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1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г. случаев нарушения норм Кодекса деловой этики членами 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80" w:type="dxa"/>
          </w:tcPr>
          <w:p w:rsidR="0090696E" w:rsidRPr="006528DB" w:rsidRDefault="0090696E" w:rsidP="001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корпоративных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конфликтов участники изыскивают пути их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решения путем переговоров в целях обеспечения эффективной защиты интересов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организации и заинтересованных сторон.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ктивность работы по предупрежде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нию и урегулированию корпоративных конфликтов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предполагает, прежде всего, 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симально полное и скорейшее выявление</w:t>
            </w:r>
          </w:p>
          <w:p w:rsidR="0090696E" w:rsidRPr="006528DB" w:rsidRDefault="0090696E" w:rsidP="001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таких конфликтов и четкую координацию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действий всех органов организации.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Корпоративные конфликты при содействии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Корпоративного секретаря рассматриваются председателем Совета директоров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>ции. В случае вовлечения предсе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дателя Совета директоров в корпоративный</w:t>
            </w:r>
          </w:p>
          <w:p w:rsidR="0090696E" w:rsidRPr="006528DB" w:rsidRDefault="0090696E" w:rsidP="001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конфликт, такие случаи рассматриваются</w:t>
            </w:r>
            <w:r w:rsidR="00773C2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Комитетом по назначениям и вознаграждениям.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1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Обществе разработаны механизмы по урегулированию корпоративны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х конфликтов, отраженные </w:t>
            </w:r>
            <w:r w:rsidR="001A5286" w:rsidRPr="006528DB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кор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поративных конфликтов в</w:t>
            </w:r>
            <w:r w:rsidR="001A528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Обществе, которая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и процедуры по урегулированию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корпоративных конфл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иктов между их участниками. Дан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ный документ при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меняется всеми структурными под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разделениями Компании, и входит в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состав документации ИСМ.</w:t>
            </w:r>
            <w:r w:rsidR="001A528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Политика Компании по урегулированию корпоративных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исходит 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из того, что порядок их урегули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рования должен обеспечить соблюдение и охрану прав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акционера, а также защиту имущественных интересов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 деловой репутации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Компетенция органов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управления Обще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ства по рассмотрению корпоратив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ных конфликтов ра</w:t>
            </w:r>
            <w:r w:rsidR="001A528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зграничивается в зависимости от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принадлежности вопроса корпоративного конфликта к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компетенции того или иного органа. Совет директоров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рассматривает корпоративные конфликты, предметом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которых являются действие (бездействие) Правления,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Председателя Правления, других работников Компании,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которым были делегированы соответствующие пол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мочия либо принятые ими решения. Совет директоров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участвует в урегулиро</w:t>
            </w:r>
            <w:r w:rsidR="001A528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вании корпоративных конфликтов.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регулирования корпоративного конфликта Предс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едателем Правления, его урегули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рование передается на рассмотрение в Совет дире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ров. По итогам 201</w:t>
            </w:r>
            <w:r w:rsidR="001873A1" w:rsidRPr="0065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5286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г. корпоративных конфликтов не было.</w:t>
            </w:r>
          </w:p>
        </w:tc>
      </w:tr>
      <w:tr w:rsidR="0090696E" w:rsidRPr="006528DB" w:rsidTr="006528DB">
        <w:tc>
          <w:tcPr>
            <w:tcW w:w="16160" w:type="dxa"/>
            <w:gridSpan w:val="5"/>
          </w:tcPr>
          <w:p w:rsidR="0090696E" w:rsidRPr="006528DB" w:rsidRDefault="0090696E" w:rsidP="003F16B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Глава 6. Управление рисками, внутренний контроль и аудит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Фонде и организациях должна быть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Фондом и организациями своих стратегических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операционных целей, и представляющая собой совокупность организационных политик, процедур, норм поведения и действий, методов и механизмов управления, создаваемых Советом директоров и исполнительным органом Фонда и организаций для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обеспечения: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1) оптимального баланса между ростом стоимости организации, прибыльностью и сопровождающими их рисками;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2) эффективности финансово-хозяйственной деятельности и достижения финансовой устойчивости Компании;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3) сохранности активов и эффективного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ресурсов Компании;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4) полноты, надежности и достоверности финансовой и управленческой отчетности;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5) соблюдения требований законодательства Республики Казахстан и внутренних документов;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6)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</w:t>
            </w:r>
          </w:p>
          <w:p w:rsidR="0090696E" w:rsidRPr="006528DB" w:rsidRDefault="0090696E" w:rsidP="00B4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и исполнительный орган должны обеспечить внедрение культуры надлежащего управления рисками в Фонде и организациях. Внедрение и функционирование системы управления рисками и внутреннего контроля в Фонде и организациях должно иметь четкую нормативную базу, основанную на лучших практиках (COSO) и методологии (политиках) Фонда.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Обществе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стратегических и операционных целей, и представляющая собой совокупность организационных политик, процедур, норм поведения и действий, методов и механизмов управления, создаваемых Советом директоров и Исполнительным органом. Советом директоров  утверждены нормативные документы, регулирующие процесс управления рисками и внутреннего контроля. Ежегодно Совет директоров утверждает Карту рисков, Регистр рисков, Риск-аппетит и уровни толерантности, План мероприятий по минимизации ключевых рисков, ключевые риск-показатели. 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проводит заседания, посвященные вопросам управления рисками, рассматривает миграцию рисков на карте рисков, информацию о реализовавшихся рисках, пересматривает планы мероприятий по минимизации рисков и утверждает отчеты по рискам. Тем самым, комплекс принятых мер по системе управления рисками и внутреннего контроля направлен на обеспечение: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 баланса между ростом стоимости организации, прибыльностью и сопровождающими их рисками;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финансово-хозяйственной деятельности и достижения финансовой устойчивости компании;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сохранности активов и эффективного использования ресурсов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Компании;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полноты, надежности и достоверности финансовой и управленческой отчетности;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требований законодательства Республики Казахстан и внутренних документов;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</w:t>
            </w:r>
          </w:p>
          <w:p w:rsidR="0090696E" w:rsidRPr="006528DB" w:rsidRDefault="0090696E" w:rsidP="00FB7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директоров и Исполнительный орган обеспечили внедрение культуры надлежащего управления рисками. Утвержденные Советом директоров нормативные документы в области управления рисками и внутреннего контроля, разработанные на основе лучшей практики (COSO) и</w:t>
            </w:r>
            <w:r w:rsidR="00D43187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(политики)</w:t>
            </w:r>
            <w:r w:rsidR="00D43187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«ФНБ «Самрук-Казына» (Политика управления рисками, Правила идентификации и оценки рисков, Положения о системе внутреннего контроля и др.). Исполнительный орган непрерывно обеспечивает реализацию норм и требований к процессу управления рисками и</w:t>
            </w:r>
            <w:r w:rsidR="00D43187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контроля, прописанных в утвержденных нормативных документах. Для усиления роли системы управления рисками и внутреннего контроля, как неотъемлемой части корпоративной культуры Общества, при Исполнительном органе создан Комитет по рискам.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 Фонда и организаций</w:t>
            </w:r>
            <w:r w:rsidR="0069774A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должны быть определены принципы и подходы к организации системы управления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рисками и внутреннего контроля, исходя из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задач этой системы и с учетом лучших практик работы и методологии Фонда в области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 внутреннего контроля.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директоров определены принципы и подходы к</w:t>
            </w:r>
            <w:r w:rsidR="0069774A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системы управления рисками и внутреннего  контроля, которые прописаны в Политике управления рисками и Положении о системе внутреннего контроля.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Советом директоров утверждены основные принципы системы: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управления рисками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руководства Компании в управление рисками;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совершенствование системы управления рисками;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обучения и обмена знаниями в сфере  управления рисками сотрудниками Компании;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честность при предоставлении отчетности и эскалации рисков.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системы внутреннего контроля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целостность;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lastRenderedPageBreak/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комплексность;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функционирования;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обязанностей;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участников системы внутреннего контроля;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методологической базы;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надлежащее одобрение и утверждение операций;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="003F16B3"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передачи сообщений о любых существенных недостатках и слабых местах контроля;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 развитие и совершенствование.</w:t>
            </w:r>
          </w:p>
          <w:p w:rsidR="0090696E" w:rsidRPr="006528DB" w:rsidRDefault="0090696E" w:rsidP="00697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системы управления рисками в Обществе представлена управлением рисками на нескольких уровнях с вовлечением следующих органов и подразделений Общества: Совет  директоров, Правление, Комитет по рискам, структурное подразделение, ответственное за управление рисками, иные структурные подразделения. Структурные подразделения, в лице каждого работника идентифицируют риски, проводят оценку рисков, определяют уровень толерантности.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7906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</w:tcPr>
          <w:p w:rsidR="0090696E" w:rsidRPr="006528DB" w:rsidRDefault="0090696E" w:rsidP="003F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Фонда и организаций должны обеспечить создание и поддержание функционирования эффективной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рисками и внутреннего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контроля. Процесс управления рисками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должен быть интегрирован с процессами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планирования (стратегия и планы развития, годовой бюджет) и оценки результатов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(управленческая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отчетность).</w:t>
            </w:r>
          </w:p>
          <w:p w:rsidR="0090696E" w:rsidRPr="006528DB" w:rsidRDefault="0090696E" w:rsidP="003F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Каждое должностное лицо Фонда или организации обеспечивает надлежащее рассмотрение рисков при принятии решений.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Фонда или организации должен обеспечить внедрение процедур управления рисками работниками,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0696E" w:rsidRPr="006528DB" w:rsidRDefault="0090696E" w:rsidP="003F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обладающими соответствующей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квалификацией и опытом.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790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790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Общества обеспечил создание и  поддержание функционирования эффективной системы  управления рисками и внутреннего контроля. Процесс управления рисками интегрирован с процессами планирования и оценки результатов деятельности. В Плане развития Общества, ф.1П-3 раскрыта информация о возможных рисках и планируемых мероприятиях по управлению рисками, влияющих на достижение КПД. Ежеквартально в управленческой отчетности по исполнению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Плана развития раскрывается информация о мероприятиях, направленных на минимизацию рисков. Должностные лица Общества обеспечивают надлежащее рассмотрение рисков при принятии решений. План развития согласовывается со всеми структурными подразделениями и топ-менеджерами Общества.</w:t>
            </w:r>
            <w:r w:rsidR="0079061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внедрение процедуры управления рисками в Обществе возложена на работников, обладающих  соответствующей квалификацией, периодически обучающихся. Руководитель подразделен</w:t>
            </w:r>
            <w:r w:rsidR="0079061F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ия по управлению рисками имеет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KPMG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рисками.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90696E" w:rsidRPr="006528DB" w:rsidRDefault="0090696E" w:rsidP="003F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рисками и внутреннего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контроля Фонда и организаций должна базироваться на высокой культуре риск-менеджмента, проводимой исполнительным</w:t>
            </w:r>
            <w:r w:rsidR="003F16B3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органом, предусматривающей обязательность процедур идентификации, оценки 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мониторинга всех существенных рисков, а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также принятие своевременных и адекватных мер по снижению уровня рисков, которые могут негативно влиять на достижение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стратегических целей, реализацию операционных задач и репутацию Компании.</w:t>
            </w:r>
          </w:p>
          <w:p w:rsidR="0090696E" w:rsidRPr="006528DB" w:rsidRDefault="0090696E" w:rsidP="003F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Процедуры по управлению рисками должны обеспечивать быстрое реагирование 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новые риски, их четкую идентификацию 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определение владельцев риска. В случае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любых непредвиденных изменений в конкурентной или экономической среде Фонда 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организаций, должна осуществляться срочная переоценка карты рисков и ее соответствие риск-аппетиту.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D137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рисками и внутреннего контроля в Обществе базируется на высокой культуре риск-менеджмента, проводимой Исполнительным органом. В Обществе, согласно Правилам идентификации и оценки рисков, проводится процедура идентификации, оценки и мониторинга всех существенных рисков. Разрабатывается и утверждается План мероприятий по управлению рисками, которые могут негативно влиять на достижение стратегических целей, реализацию операционных задач и репутацию компании. Культура риск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менеджмента внедряется с начала обучения вновь принятых работников и поддерживается периодическим обучением всех работников посредством внутренних и внешних тренингов и семинаров. Результат идентификации и оценки рисков представлен в регистре и карте рисков. Своевременные и адекватные меры  предусмотрены в Плане мероприятий по минимизации рисков, где также закреплены ответственные исполнители для снижения уровня рисков. Для достижения стратегических и репутационных КПД идентифицированы риски и предусмотрены ключевые рисковые показатели, которые на ранней стадии сигнализируют о возможных рисках. Одной из функций владельцев рисков бизнес-процессов, в соответствии с Правилами идентификации и оценки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рисков, является предоставление оперативной информации о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реализовавшемся риске или угрозе реализации риска. Данная функция позволяет обеспечить быстрое реагирование на новые риски, их четкую идентификацию и определение владельцев риска. На основании оперативной информации и своевременной идентификации в Обществе проводится срочная переоценка карты рисков и ее соответствие риск-аппетиту. На карте рисков отражается миграция рисков.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0696E" w:rsidRPr="006528DB" w:rsidRDefault="0090696E" w:rsidP="00D1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Фонде и организациях должны осуществляться разработка, утверждение, формализация и документирование контрольных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процедур по трем ключевым областям: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деятельность, подготовка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 и соблюдение требований законодательства Республики Казахстан и внутренних документов.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«Внедрение системы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управленческой отчетности» иници</w:t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>ированной АО «Самрук-Казына» в План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>Общества внедрены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внутреннего контроля (СВК) процессов ведения учета и подготовки финансовой отчетности.  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процедуры Общества осуществляются по трем ключевым областям: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законодательного уровня,  корпоративного уровня и ведения учета и подготовки финансовой отчетности.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Матрица рисков и контролей законодательного уровня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. Данная Матрица состоит из 3 (трех) контролей: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>ведение учета и подготовка финансовой отчетности;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инвестиционной программы;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передача и распределение электрической энергии.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Матрица рисков и контролей процессов ведения учета и подготовки финансовой отчетности</w:t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Общества представляе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 информацию об основных бизнес-процессах, рисках и контрольных процедурах, связанных с ведением учета и подготовкой финансовой отчетности. 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Перечень матриц по бизнес-процессам: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едение учета и подготовка финансовой отчетности;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з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акупки товаров, работ, услуг и расчеты с кредиторами;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сновные средства (в т.ч. объекты капитального строительства), нематериальные активы;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>доходы и расчеты с дебиторами;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учет товарно-материальных запасов;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учет казначейских операций;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учет налогов;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расчеты с персоналом;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учет командировочных расходов.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Матрица рисков и контролей корпоративного уровня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. Настоящая Матрица состоит из 10 (десяти) контролей: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0BEE" w:rsidRPr="006528DB">
              <w:rPr>
                <w:rFonts w:ascii="Times New Roman" w:hAnsi="Times New Roman" w:cs="Times New Roman"/>
                <w:sz w:val="24"/>
                <w:szCs w:val="24"/>
              </w:rPr>
              <w:t>структура корпоративного управления;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 общества;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ответственность;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риски;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экология;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охрана  труда;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правления;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совет директоров;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информационная политика;</w:t>
            </w:r>
          </w:p>
          <w:p w:rsidR="0090696E" w:rsidRPr="006528DB" w:rsidRDefault="006A0BE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ab/>
              <w:t>прозрачность.</w:t>
            </w:r>
          </w:p>
          <w:p w:rsidR="0090696E" w:rsidRPr="006528DB" w:rsidRDefault="0090696E" w:rsidP="00450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Матрицы  содержит описание риска, цель контроля, описание критериев, входные и выходные данные, ответственного исполнителя, периодичность, тип и вид контроля.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Фонде и организациях должны быть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внедрены прозрачные принципы и подходы в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области управления рисками и внутреннего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контроля, практика обучения работников 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должностных лиц о системе управления рисками, а также процесс идентификации, документирования и своевременного доведения необходимой информации до сведения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должностных лиц.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внедрены прозрачные принципы и подходы в области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рисками и внутреннего контроля. Внутренние документы, регулирующие процесс управления рисками и внутреннего контроля, размещены на сайте и на внутреннем портале Общества, наряду с регистром и картой рисков. Обучение работников и должностных лиц по системе управления рисками проводится регулярно, а также при принятии на работу вновь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прибывших работников. Документирование процесса отражено в результатах тестирования. Результаты тестирования своевременно доводятся до сведения должностных лиц.</w:t>
            </w:r>
            <w:r w:rsidRPr="006528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Совету директоров Фонда и организаций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необходимо предпринимать соответствующие меры для того, чтобы убедиться, что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действующая система управления рисками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внутреннего контроля соответствует определенным Советом директоров принципам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подходам к ее организации и эффективно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функционирует. Отчеты по рискам должны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выноситься на заседания Совета директоров не реже одного раза в квартал и обсуждаться надлежащим образом в полном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7935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 утверждена Методика оценки корпоративной системы управления рисками и Положение о внутреннем контроле Общества, которые определяют методы оценки функционирования корпоративной системы управления рисками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внутреннего контроля на соответствие установленным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Советом директоров принципам и подходам к их организации и эффективному функционированию. Отчеты по рискам выносятся на заседания Совета директоров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. Выписки с заседания Совета директоров об утверждении отчетов по рискам, а также записи заседаний свидетельствуют об обсуждении надлежащим образом и в полном объеме отчетов по рискам.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Фонде и организациях должна быть создана СВА для систематической независимой оценки надежности и эффективности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рисками и внутреннего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контроля и практики корпоративного управления.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2D769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Внутренний аудит в Фонде и организациях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должен осуществляться посредством создания отдельного структурного подразделения – СВА (в организациях в форме товариществ с ограниченной ответственностью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функции внутреннего аудита должны быть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возложены на ревизионную 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омиссию/ревизора,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 подотчетной наблюдательному совету; при этом цели, функции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 задачи ревизионной комиссии/ревизора,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порядок ее взаимодействия с органами организации должны устанавливаться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принципов, изложенных в настоящем Кодексе применительно к службе внутреннего аудита). Цели, полномочия и ответственность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СВА, квалификационные требования (требования к профессионализму внутренних аудиторов) должны быть определены во внутреннем документе компании (Положении о СВА).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Положение о СВА должно разрабатываться и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утверждаться с учетом требований международных профессиональных стандартов внутреннего аудита и корпоративных стандартов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Фонда в области внутреннего аудита. Обязанностью Совета директоров организаций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является обеспечение полного соответствия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Положения о СВА специфическим потребностям бизнеса организаций.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AB06A1">
            <w:pPr>
              <w:tabs>
                <w:tab w:val="left" w:pos="116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Для обеспечения независимости и объективности внутреннего аудита СВА должна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быть организационно подчинена и функционально подотчетна Совету директоров.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Совет директоров принимает решения по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ению планов и стратегии деятель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ности СВ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А, бюджета СВА, определяет коли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чественны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й состав, размер и условия опла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ты труда 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премирования работников СВА.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AB06A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Руководитель СВА в организациях должен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разработать внутренние документы, регулирующие деятельность подразделения, на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основе корпоративных стандартов Фонда в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области внутреннего аудита и обеспечить их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Комитетом по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аудиту и Советом директоров.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AB06A1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СВА осуществляет свою деятельность на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основе риск-ориентированного годового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ского плана, утвержденного Сове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том директоров. Результаты аудиторских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ключевые обнаружения ежеквар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тально выносятся на рассмотрение Совета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директоров.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AB06A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При осуществлении своей деятельности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А должна проводить оценку эффек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тивности систем внутреннего контроля 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ения рисками, оценку корпоратив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ного у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правления с применением общепри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нятых стандартов деятельности в области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внутреннего аудита и корпоративных стандартов и рекомендаций Фонда в области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орпоративного управления, оценки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внутреннего контроля и управления рисками.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2D76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Руководитель СВА должен разработать и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поддерживать программу гарантии и повышения качества, охватывающую все виды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ости внутреннего аудита, и пред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усматривающую обязательное проведение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внутренней и внешней оценки деятельности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СВА.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СВА,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ее руко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водителя и работников осущест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вляется Советом директоров на основе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рассмотрения отчетов СВА, соблюдения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сроков исполнения годового аудиторского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плана и представления отчетности, оценки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тствия отчетов требованиям стан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дартов и внутренних нормативных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тов СВА.</w:t>
            </w:r>
          </w:p>
        </w:tc>
        <w:tc>
          <w:tcPr>
            <w:tcW w:w="2410" w:type="dxa"/>
            <w:gridSpan w:val="2"/>
          </w:tcPr>
          <w:p w:rsidR="0090696E" w:rsidRPr="006528DB" w:rsidRDefault="0090696E" w:rsidP="002D7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7935" w:type="dxa"/>
          </w:tcPr>
          <w:p w:rsidR="0090696E" w:rsidRPr="006528DB" w:rsidRDefault="002D7691" w:rsidP="00AB06A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внутреннего аудита в Обществе не создавалась  </w:t>
            </w:r>
          </w:p>
        </w:tc>
      </w:tr>
      <w:tr w:rsidR="0090696E" w:rsidRPr="006528DB" w:rsidTr="006528DB">
        <w:tc>
          <w:tcPr>
            <w:tcW w:w="16160" w:type="dxa"/>
            <w:gridSpan w:val="5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7. Прозрачность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B1528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целях соблюдения интересов заинтересованных сторон Фонд и организации своевременно и достоверно раскрывают информацию о всех важных аспектах своей деятельности, включая финансовое состояние, результаты деятельности, структуру</w:t>
            </w:r>
          </w:p>
          <w:p w:rsidR="0090696E" w:rsidRPr="006528DB" w:rsidRDefault="0090696E" w:rsidP="002D76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собственности и управления.</w:t>
            </w:r>
          </w:p>
        </w:tc>
        <w:tc>
          <w:tcPr>
            <w:tcW w:w="2268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На сайте Общества раскрывается вся информация в соответствии с законодательством Республики Казахстан и Листинговыми правилами биржи, затрагивающая интересы стейкхолдеров. Вся информация размещается вовремя. Интернет-ресурс Общества содержит следующую информацию: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общую информацию об Обществе, включая информацию о миссии, основных задачах, целях и видах деятельности, размере собственного капитала, размере активов, чистом доходе и численности персонала;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информацию о стратегии развития; приоритетные направления деятельности;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Устав и внутренние документы, регулирующие деятельность органов, комитетов, корпоративного секретаря;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этических принципах;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управлении рисками;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дивидендную политику;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членах Совета директоров;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информацию о членах правления;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финансовую отчетность;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годовые отчеты;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внешнем аудиторе;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информацию о закупочной деятельности;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уставного капитала;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информацию о структуре активов;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деятельности в сфере устойчивого развития; 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- новости и пресс-релизы.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B1528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Фонд и организации своевременно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информацию, предусмотренную законодательством Республики Казахстан и внутренними документами. В Фонде и организациях должны быть утверждены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внутренние документы, определяющие принципы и подходы к раскрытию и защите информации, а также перечень информации, раскрываемой заинтересованным сторонам. Фонд и организации определяют порядок отнесения информации к категориям доступа, условия хранения и использования информации, в том числе круг лиц, имеющих право свободного доступа к информации, составляющей коммерческую и служебную тайну, и принимает меры к охране ее конфиденциальности.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Обществе утверждены нормативные документы,</w:t>
            </w:r>
            <w:r w:rsidR="00DB0097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регламентирующие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принципы и подходы к раскрытию и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 информации.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Компании действуют: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политика, которая определяет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подходы к раскрытию информации;</w:t>
            </w:r>
          </w:p>
          <w:p w:rsidR="0090696E" w:rsidRPr="006528DB" w:rsidRDefault="0090696E" w:rsidP="005C5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="00B85B35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по раскрытию информации Общества;</w:t>
            </w:r>
          </w:p>
          <w:p w:rsidR="0090696E" w:rsidRPr="006528DB" w:rsidRDefault="0090696E" w:rsidP="005C5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b/>
                <w:bCs/>
                <w:color w:val="006BB7"/>
                <w:sz w:val="24"/>
                <w:szCs w:val="24"/>
              </w:rPr>
              <w:t>–</w:t>
            </w:r>
            <w:r w:rsidRPr="006528DB">
              <w:rPr>
                <w:rFonts w:ascii="Times New Roman" w:hAnsi="Times New Roman" w:cs="Times New Roman"/>
                <w:color w:val="006BB7"/>
                <w:sz w:val="24"/>
                <w:szCs w:val="24"/>
              </w:rPr>
              <w:t xml:space="preserve">– </w:t>
            </w:r>
            <w:r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r w:rsidR="005C52CA" w:rsidRPr="0065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информационной безопасности.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B1528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</w:tcPr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Фонд, компании и организации, акции или  облигации которых торгуются на фондовой бирже, должны своевременно размещать на своем интернет-ресурсе аудированную годовую финансовую отчетность, подготовленную в соответствии с Международными стандартами финансовой отчетности (далее – МСФО), а также финансовую отчетность, подготовленную в соответствии с МСФО за первый квартал, за полугодие и за первые девять месяцев отчетного периода. Помимо основных форм финансовой отчетности, рекомендуется раскрывать дополни-</w:t>
            </w:r>
          </w:p>
          <w:p w:rsidR="0090696E" w:rsidRPr="006528DB" w:rsidRDefault="0090696E" w:rsidP="002D7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тельную информацию о финансовом состоянии Фонда, компаний 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акции или  облигации которых торгуются на бирже.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771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Общества размещается аудированная годовая финансовая отчетность, подготовленная в соответствии с Международными стандартами финансовой отчетности (далее – МСФО). 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тчетность размещается </w:t>
            </w:r>
            <w:r w:rsidR="002D7691" w:rsidRPr="006528D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771D10" w:rsidRPr="006528DB">
              <w:rPr>
                <w:rFonts w:ascii="Times New Roman" w:hAnsi="Times New Roman" w:cs="Times New Roman"/>
                <w:sz w:val="24"/>
                <w:szCs w:val="24"/>
              </w:rPr>
              <w:t>установленные сроки.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B1528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90696E" w:rsidRPr="006528DB" w:rsidRDefault="0090696E" w:rsidP="00771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 и организации должны проводить ежегодный аудит финансовой отчетности посредством привлечения независимого и квалифицированного аудитора, который как стороннее лицо  предоставляет объективное мнение заинтересованным сторонам о достоверности финансовой отчетности и ее соответствии требованиям МСФО. Нормы в части ежегодного аудита применяются, если проведение аудита годовой финансовой отчетности предусмотрено законодательством Республики Казахстан и/</w:t>
            </w:r>
          </w:p>
          <w:p w:rsidR="0090696E" w:rsidRPr="006528DB" w:rsidRDefault="0090696E" w:rsidP="00771D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или внутренними документами организации.</w:t>
            </w:r>
          </w:p>
        </w:tc>
        <w:tc>
          <w:tcPr>
            <w:tcW w:w="2268" w:type="dxa"/>
          </w:tcPr>
          <w:p w:rsidR="0090696E" w:rsidRPr="006528DB" w:rsidRDefault="0090696E" w:rsidP="00074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771D10" w:rsidP="00E4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Аудит финансово-хозяйственной деятельности </w:t>
            </w:r>
            <w:r w:rsidR="00E42D70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за 2018г.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компа</w:t>
            </w:r>
            <w:r w:rsidR="00E42D70" w:rsidRPr="006528DB">
              <w:rPr>
                <w:rFonts w:ascii="Times New Roman" w:hAnsi="Times New Roman" w:cs="Times New Roman"/>
                <w:sz w:val="24"/>
                <w:szCs w:val="24"/>
              </w:rPr>
              <w:t>нией ТОО «ПрайсуотерхаусКуперс». ТОО «ПрайсуотерхаусКуперс» - представитель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четверки», подтвердил достоверность</w:t>
            </w:r>
            <w:r w:rsidR="00E42D70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финансового положения Общества на 31 декабря 201</w:t>
            </w:r>
            <w:r w:rsidR="00DB0097" w:rsidRPr="0065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года, а также финансовые результаты и движение денежных средств за год, закончившийся на указанную дату, в соответствии с Международными стандартами финансовой отч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етности.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B1528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0696E" w:rsidRPr="006528DB" w:rsidRDefault="0090696E" w:rsidP="00771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Фонд, компании и организации, акции которых торгуются на фондовой бирже, должны готовить годовой отчет в соответствии с положениями настоящего Кодекса и лучшей практикой раскрытия информации. Годовой отчет утверждается Советом директоров.</w:t>
            </w:r>
          </w:p>
        </w:tc>
        <w:tc>
          <w:tcPr>
            <w:tcW w:w="2268" w:type="dxa"/>
          </w:tcPr>
          <w:p w:rsidR="00E42D70" w:rsidRPr="006528DB" w:rsidRDefault="00E42D70" w:rsidP="00E42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90696E" w:rsidRPr="006528DB" w:rsidRDefault="00E42D70" w:rsidP="00E42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696E" w:rsidRPr="006528DB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8077" w:type="dxa"/>
            <w:gridSpan w:val="2"/>
          </w:tcPr>
          <w:p w:rsidR="00E42D70" w:rsidRPr="006528DB" w:rsidRDefault="00E42D70" w:rsidP="00E42D7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3 пункта 11.4 статьи 11 Устава Общества к исключительной компетенции Совета директоров Общества относится предварительное утверждение годового отчета об итогах деятельности Общества.</w:t>
            </w:r>
          </w:p>
          <w:p w:rsidR="0090696E" w:rsidRPr="006528DB" w:rsidRDefault="00E42D70" w:rsidP="002021B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на ежегодной основе </w:t>
            </w:r>
            <w:r w:rsidR="002021B0" w:rsidRPr="006528DB">
              <w:rPr>
                <w:rFonts w:ascii="Times New Roman" w:hAnsi="Times New Roman" w:cs="Times New Roman"/>
                <w:sz w:val="24"/>
                <w:szCs w:val="24"/>
              </w:rPr>
              <w:t>готовит годовой отчет в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АО «Казахстанская фондовая биржа» к раскрытию информации в годовом отчете листинговой компании</w:t>
            </w:r>
            <w:r w:rsidR="002021B0" w:rsidRPr="0065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B0" w:rsidRPr="006528DB" w:rsidRDefault="002021B0" w:rsidP="002021B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решением Единственного акционера годовой отчет размещается на портале 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(АО «Казахстанская фондовая биржа»)</w:t>
            </w:r>
          </w:p>
        </w:tc>
      </w:tr>
      <w:tr w:rsidR="0090696E" w:rsidRPr="006528DB" w:rsidTr="006528DB">
        <w:tc>
          <w:tcPr>
            <w:tcW w:w="1135" w:type="dxa"/>
          </w:tcPr>
          <w:p w:rsidR="0090696E" w:rsidRPr="006B1528" w:rsidRDefault="0090696E" w:rsidP="00074D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90696E" w:rsidRPr="006528DB" w:rsidRDefault="0090696E" w:rsidP="00DE3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Интернет-ресурс должен быть хорошо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рирован, удобен для навигации и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содержать ин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необходимую за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интересо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</w:rPr>
              <w:t>ванным лицам для понимания дея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тельности Компании.</w:t>
            </w:r>
          </w:p>
        </w:tc>
        <w:tc>
          <w:tcPr>
            <w:tcW w:w="2268" w:type="dxa"/>
          </w:tcPr>
          <w:p w:rsidR="0090696E" w:rsidRPr="006528DB" w:rsidRDefault="0090696E" w:rsidP="00652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8077" w:type="dxa"/>
            <w:gridSpan w:val="2"/>
          </w:tcPr>
          <w:p w:rsidR="0090696E" w:rsidRPr="006528DB" w:rsidRDefault="0090696E" w:rsidP="00DE3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Официальный сайт компании www.</w:t>
            </w:r>
            <w:r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azhk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.kz создан с применением современного интерфейса, 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удобной навигацией по сайту. </w:t>
            </w:r>
          </w:p>
          <w:p w:rsidR="0090696E" w:rsidRPr="006528DB" w:rsidRDefault="0090696E" w:rsidP="00DE3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Тематика разделов сайта соответствует всем требованиям Кодекса корпоративного обновления и принятым стандартам. Материалы размещаются на государственном, русском и английском языках. Правилами по подготовке и размещению информации на веб-сайте Компании предусмотрена ответственность лиц из числа структурных подразделений за полноту и актуальность размещаемой на сайте информации, касающейся деятельности Общества. Информация обновляется на регулярной основе, ежеме-</w:t>
            </w:r>
          </w:p>
          <w:p w:rsidR="0090696E" w:rsidRPr="006528DB" w:rsidRDefault="0090696E" w:rsidP="00DE3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сячно ответственные лица стурктурных подразделений проводят мониторинг закрепленных отделов на предмет актуализации и обновления контента. Сайт является первым и одним из основных источников получения стейкхолдерами Общества необходимой информации об основной деятельности </w:t>
            </w:r>
            <w:r w:rsidR="00DE36D7" w:rsidRPr="006528DB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</w:tr>
    </w:tbl>
    <w:p w:rsidR="00DC2195" w:rsidRPr="006528DB" w:rsidRDefault="00DC2195" w:rsidP="00074D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C2195" w:rsidRPr="006528DB" w:rsidSect="006528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CFC"/>
    <w:multiLevelType w:val="hybridMultilevel"/>
    <w:tmpl w:val="0038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2F9"/>
    <w:multiLevelType w:val="hybridMultilevel"/>
    <w:tmpl w:val="D8E0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6F40"/>
    <w:multiLevelType w:val="hybridMultilevel"/>
    <w:tmpl w:val="DE7A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1A25"/>
    <w:multiLevelType w:val="hybridMultilevel"/>
    <w:tmpl w:val="1D78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1CCD"/>
    <w:multiLevelType w:val="hybridMultilevel"/>
    <w:tmpl w:val="057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5D2E"/>
    <w:multiLevelType w:val="hybridMultilevel"/>
    <w:tmpl w:val="DE7A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7FBE"/>
    <w:multiLevelType w:val="hybridMultilevel"/>
    <w:tmpl w:val="CCA0B16C"/>
    <w:lvl w:ilvl="0" w:tplc="CBDE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72987"/>
    <w:multiLevelType w:val="hybridMultilevel"/>
    <w:tmpl w:val="D5B2A550"/>
    <w:lvl w:ilvl="0" w:tplc="D4A418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9D20603A">
      <w:start w:val="1"/>
      <w:numFmt w:val="decimal"/>
      <w:lvlText w:val="%2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6AD2739"/>
    <w:multiLevelType w:val="hybridMultilevel"/>
    <w:tmpl w:val="708E8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B342C"/>
    <w:multiLevelType w:val="hybridMultilevel"/>
    <w:tmpl w:val="9848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812BB"/>
    <w:multiLevelType w:val="hybridMultilevel"/>
    <w:tmpl w:val="8C4CAF6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31F266E"/>
    <w:multiLevelType w:val="hybridMultilevel"/>
    <w:tmpl w:val="0602D7A6"/>
    <w:lvl w:ilvl="0" w:tplc="08090005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A095E"/>
    <w:multiLevelType w:val="hybridMultilevel"/>
    <w:tmpl w:val="ADD0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F06EC"/>
    <w:multiLevelType w:val="hybridMultilevel"/>
    <w:tmpl w:val="9C9CA406"/>
    <w:lvl w:ilvl="0" w:tplc="866097A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4"/>
    <w:rsid w:val="00020395"/>
    <w:rsid w:val="00054427"/>
    <w:rsid w:val="00056831"/>
    <w:rsid w:val="00063509"/>
    <w:rsid w:val="00064031"/>
    <w:rsid w:val="00072F39"/>
    <w:rsid w:val="00074D2F"/>
    <w:rsid w:val="00096696"/>
    <w:rsid w:val="000976A7"/>
    <w:rsid w:val="000C2212"/>
    <w:rsid w:val="000F207B"/>
    <w:rsid w:val="000F41FB"/>
    <w:rsid w:val="001123F8"/>
    <w:rsid w:val="001217EB"/>
    <w:rsid w:val="001873A1"/>
    <w:rsid w:val="00187830"/>
    <w:rsid w:val="00192329"/>
    <w:rsid w:val="0019390B"/>
    <w:rsid w:val="001951E7"/>
    <w:rsid w:val="001A5286"/>
    <w:rsid w:val="001B7E8E"/>
    <w:rsid w:val="001E33EB"/>
    <w:rsid w:val="002021B0"/>
    <w:rsid w:val="0021674F"/>
    <w:rsid w:val="002306ED"/>
    <w:rsid w:val="002370E0"/>
    <w:rsid w:val="00247704"/>
    <w:rsid w:val="00261C92"/>
    <w:rsid w:val="00263282"/>
    <w:rsid w:val="002B4434"/>
    <w:rsid w:val="002D30A7"/>
    <w:rsid w:val="002D7691"/>
    <w:rsid w:val="00316B3A"/>
    <w:rsid w:val="00323661"/>
    <w:rsid w:val="00337883"/>
    <w:rsid w:val="00343529"/>
    <w:rsid w:val="00353C84"/>
    <w:rsid w:val="0039676A"/>
    <w:rsid w:val="003B2622"/>
    <w:rsid w:val="003B5679"/>
    <w:rsid w:val="003F16B3"/>
    <w:rsid w:val="00441570"/>
    <w:rsid w:val="0044494F"/>
    <w:rsid w:val="004458AF"/>
    <w:rsid w:val="00450EA6"/>
    <w:rsid w:val="004537FF"/>
    <w:rsid w:val="00456A41"/>
    <w:rsid w:val="00463BB9"/>
    <w:rsid w:val="004934BB"/>
    <w:rsid w:val="004C726C"/>
    <w:rsid w:val="004F4166"/>
    <w:rsid w:val="004F7159"/>
    <w:rsid w:val="00507447"/>
    <w:rsid w:val="00514651"/>
    <w:rsid w:val="00521706"/>
    <w:rsid w:val="00526A19"/>
    <w:rsid w:val="005315CE"/>
    <w:rsid w:val="00540EFB"/>
    <w:rsid w:val="00557591"/>
    <w:rsid w:val="00557A6E"/>
    <w:rsid w:val="00567172"/>
    <w:rsid w:val="00570909"/>
    <w:rsid w:val="00571EE9"/>
    <w:rsid w:val="0059677A"/>
    <w:rsid w:val="005C4F6E"/>
    <w:rsid w:val="005C52CA"/>
    <w:rsid w:val="005C71B6"/>
    <w:rsid w:val="005D18EB"/>
    <w:rsid w:val="005E2061"/>
    <w:rsid w:val="00604DEA"/>
    <w:rsid w:val="00612D9C"/>
    <w:rsid w:val="006255D4"/>
    <w:rsid w:val="006528DB"/>
    <w:rsid w:val="0065594C"/>
    <w:rsid w:val="00655F48"/>
    <w:rsid w:val="00657522"/>
    <w:rsid w:val="0066183C"/>
    <w:rsid w:val="00694004"/>
    <w:rsid w:val="00694BFA"/>
    <w:rsid w:val="0069774A"/>
    <w:rsid w:val="006A0BEE"/>
    <w:rsid w:val="006B1528"/>
    <w:rsid w:val="006B68D6"/>
    <w:rsid w:val="006E7A37"/>
    <w:rsid w:val="006F0103"/>
    <w:rsid w:val="006F047B"/>
    <w:rsid w:val="006F7511"/>
    <w:rsid w:val="0070673C"/>
    <w:rsid w:val="007104C7"/>
    <w:rsid w:val="0071434F"/>
    <w:rsid w:val="00717824"/>
    <w:rsid w:val="00720F9F"/>
    <w:rsid w:val="00743C42"/>
    <w:rsid w:val="00771D10"/>
    <w:rsid w:val="0077248F"/>
    <w:rsid w:val="00773C2E"/>
    <w:rsid w:val="0079061F"/>
    <w:rsid w:val="00795A96"/>
    <w:rsid w:val="007A7C6C"/>
    <w:rsid w:val="007B64C7"/>
    <w:rsid w:val="007C1CF8"/>
    <w:rsid w:val="007D7D49"/>
    <w:rsid w:val="00816E0F"/>
    <w:rsid w:val="00820DD2"/>
    <w:rsid w:val="008216FB"/>
    <w:rsid w:val="0082795C"/>
    <w:rsid w:val="0083205E"/>
    <w:rsid w:val="00845558"/>
    <w:rsid w:val="00851C37"/>
    <w:rsid w:val="00865AA6"/>
    <w:rsid w:val="00890468"/>
    <w:rsid w:val="00894B8F"/>
    <w:rsid w:val="008A348F"/>
    <w:rsid w:val="008A641C"/>
    <w:rsid w:val="0090696E"/>
    <w:rsid w:val="00916D00"/>
    <w:rsid w:val="00935644"/>
    <w:rsid w:val="00942843"/>
    <w:rsid w:val="009446FA"/>
    <w:rsid w:val="00961A1A"/>
    <w:rsid w:val="00963488"/>
    <w:rsid w:val="009651E1"/>
    <w:rsid w:val="00996400"/>
    <w:rsid w:val="009A4C3C"/>
    <w:rsid w:val="009D37D1"/>
    <w:rsid w:val="009E0605"/>
    <w:rsid w:val="009F2FAD"/>
    <w:rsid w:val="00A11A1B"/>
    <w:rsid w:val="00A17A70"/>
    <w:rsid w:val="00A779EA"/>
    <w:rsid w:val="00A94282"/>
    <w:rsid w:val="00A976F4"/>
    <w:rsid w:val="00AB06A1"/>
    <w:rsid w:val="00AB2AC6"/>
    <w:rsid w:val="00AB349D"/>
    <w:rsid w:val="00AE1255"/>
    <w:rsid w:val="00AE28C8"/>
    <w:rsid w:val="00B1312E"/>
    <w:rsid w:val="00B3692C"/>
    <w:rsid w:val="00B448A9"/>
    <w:rsid w:val="00B85B35"/>
    <w:rsid w:val="00B928FB"/>
    <w:rsid w:val="00BA7E70"/>
    <w:rsid w:val="00BC1930"/>
    <w:rsid w:val="00BC6A2E"/>
    <w:rsid w:val="00BE106D"/>
    <w:rsid w:val="00BE3EC1"/>
    <w:rsid w:val="00C25B8C"/>
    <w:rsid w:val="00C52D4F"/>
    <w:rsid w:val="00C57FEA"/>
    <w:rsid w:val="00C67714"/>
    <w:rsid w:val="00C70C29"/>
    <w:rsid w:val="00C74716"/>
    <w:rsid w:val="00CB6D7F"/>
    <w:rsid w:val="00CC3777"/>
    <w:rsid w:val="00CD56AA"/>
    <w:rsid w:val="00CF0CC7"/>
    <w:rsid w:val="00CF28D8"/>
    <w:rsid w:val="00CF3ADC"/>
    <w:rsid w:val="00CF5884"/>
    <w:rsid w:val="00D01DC2"/>
    <w:rsid w:val="00D137E4"/>
    <w:rsid w:val="00D1616B"/>
    <w:rsid w:val="00D2152C"/>
    <w:rsid w:val="00D259FB"/>
    <w:rsid w:val="00D41B1B"/>
    <w:rsid w:val="00D43187"/>
    <w:rsid w:val="00D523B0"/>
    <w:rsid w:val="00D66C04"/>
    <w:rsid w:val="00D8092E"/>
    <w:rsid w:val="00D9071A"/>
    <w:rsid w:val="00DA7A92"/>
    <w:rsid w:val="00DB0097"/>
    <w:rsid w:val="00DC2195"/>
    <w:rsid w:val="00DD2221"/>
    <w:rsid w:val="00DD3BE9"/>
    <w:rsid w:val="00DD6C4B"/>
    <w:rsid w:val="00DE3236"/>
    <w:rsid w:val="00DE36D7"/>
    <w:rsid w:val="00DF3E06"/>
    <w:rsid w:val="00E05BD3"/>
    <w:rsid w:val="00E11A05"/>
    <w:rsid w:val="00E1581C"/>
    <w:rsid w:val="00E26EEB"/>
    <w:rsid w:val="00E309F1"/>
    <w:rsid w:val="00E42D70"/>
    <w:rsid w:val="00E5261F"/>
    <w:rsid w:val="00E54567"/>
    <w:rsid w:val="00E563C5"/>
    <w:rsid w:val="00E575CB"/>
    <w:rsid w:val="00E75E8F"/>
    <w:rsid w:val="00E91CB1"/>
    <w:rsid w:val="00EC62C7"/>
    <w:rsid w:val="00ED5AAD"/>
    <w:rsid w:val="00ED5D09"/>
    <w:rsid w:val="00F15A95"/>
    <w:rsid w:val="00F24E42"/>
    <w:rsid w:val="00F65A69"/>
    <w:rsid w:val="00F72EFD"/>
    <w:rsid w:val="00F73E22"/>
    <w:rsid w:val="00F84498"/>
    <w:rsid w:val="00F95F5A"/>
    <w:rsid w:val="00FA1698"/>
    <w:rsid w:val="00FA2079"/>
    <w:rsid w:val="00FB4A2A"/>
    <w:rsid w:val="00FB4FEF"/>
    <w:rsid w:val="00FB5211"/>
    <w:rsid w:val="00FB77BB"/>
    <w:rsid w:val="00FC1662"/>
    <w:rsid w:val="00FE5312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7958-D3A0-4EE4-9EB3-D754E32C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C21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DC2195"/>
    <w:rPr>
      <w:i/>
      <w:iCs/>
    </w:rPr>
  </w:style>
  <w:style w:type="table" w:styleId="a4">
    <w:name w:val="Table Grid"/>
    <w:basedOn w:val="a1"/>
    <w:uiPriority w:val="39"/>
    <w:rsid w:val="00DC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A7E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7E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7E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7E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7E7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E95E-204C-474C-9FC8-CA9EA9D4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11147</Words>
  <Characters>63541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Мухамеджанова Макпал Унербековна</dc:creator>
  <cp:lastModifiedBy>Шахметова Асима</cp:lastModifiedBy>
  <cp:revision>2</cp:revision>
  <dcterms:created xsi:type="dcterms:W3CDTF">2019-08-22T10:55:00Z</dcterms:created>
  <dcterms:modified xsi:type="dcterms:W3CDTF">2019-08-22T10:55:00Z</dcterms:modified>
</cp:coreProperties>
</file>