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EA2" w:rsidRDefault="00FA4EA2" w:rsidP="007B7EEE">
      <w:pPr>
        <w:spacing w:after="0"/>
        <w:jc w:val="center"/>
        <w:rPr>
          <w:rStyle w:val="s0"/>
          <w:b/>
          <w:sz w:val="22"/>
          <w:szCs w:val="22"/>
          <w:lang w:val="en-US"/>
        </w:rPr>
      </w:pPr>
      <w:bookmarkStart w:id="0" w:name="_GoBack"/>
      <w:bookmarkEnd w:id="0"/>
    </w:p>
    <w:p w:rsidR="007B7EEE" w:rsidRDefault="00B47B16" w:rsidP="007B7EEE">
      <w:pPr>
        <w:spacing w:after="0"/>
        <w:jc w:val="center"/>
        <w:rPr>
          <w:rStyle w:val="s0"/>
          <w:b/>
          <w:sz w:val="22"/>
          <w:szCs w:val="22"/>
          <w:lang w:val="kk-KZ"/>
        </w:rPr>
      </w:pPr>
      <w:r w:rsidRPr="00B47B16">
        <w:rPr>
          <w:rStyle w:val="s0"/>
          <w:b/>
          <w:sz w:val="22"/>
          <w:szCs w:val="22"/>
          <w:lang w:val="en-US"/>
        </w:rPr>
        <w:t>2019</w:t>
      </w:r>
      <w:r w:rsidRPr="00B47B16">
        <w:rPr>
          <w:rStyle w:val="s0"/>
          <w:b/>
          <w:sz w:val="22"/>
          <w:szCs w:val="22"/>
        </w:rPr>
        <w:t>ж</w:t>
      </w:r>
      <w:r w:rsidRPr="00B47B16">
        <w:rPr>
          <w:rStyle w:val="s0"/>
          <w:b/>
          <w:sz w:val="22"/>
          <w:szCs w:val="22"/>
          <w:lang w:val="en-US"/>
        </w:rPr>
        <w:t xml:space="preserve">. </w:t>
      </w:r>
      <w:proofErr w:type="spellStart"/>
      <w:r w:rsidRPr="00B47B16">
        <w:rPr>
          <w:rStyle w:val="s0"/>
          <w:b/>
          <w:sz w:val="22"/>
          <w:szCs w:val="22"/>
        </w:rPr>
        <w:t>бірінші</w:t>
      </w:r>
      <w:proofErr w:type="spellEnd"/>
      <w:r w:rsidRPr="00B47B16">
        <w:rPr>
          <w:rStyle w:val="s0"/>
          <w:b/>
          <w:sz w:val="22"/>
          <w:szCs w:val="22"/>
          <w:lang w:val="en-US"/>
        </w:rPr>
        <w:t xml:space="preserve"> </w:t>
      </w:r>
      <w:proofErr w:type="spellStart"/>
      <w:r w:rsidRPr="00B47B16">
        <w:rPr>
          <w:rStyle w:val="s0"/>
          <w:b/>
          <w:sz w:val="22"/>
          <w:szCs w:val="22"/>
        </w:rPr>
        <w:t>жартыжылдығының</w:t>
      </w:r>
      <w:proofErr w:type="spellEnd"/>
      <w:r w:rsidRPr="00B47B16">
        <w:rPr>
          <w:rStyle w:val="s0"/>
          <w:b/>
          <w:sz w:val="22"/>
          <w:szCs w:val="22"/>
          <w:lang w:val="en-US"/>
        </w:rPr>
        <w:t xml:space="preserve"> </w:t>
      </w:r>
      <w:proofErr w:type="spellStart"/>
      <w:r w:rsidRPr="00B47B16">
        <w:rPr>
          <w:rStyle w:val="s0"/>
          <w:b/>
          <w:sz w:val="22"/>
          <w:szCs w:val="22"/>
        </w:rPr>
        <w:t>қорытындысы</w:t>
      </w:r>
      <w:proofErr w:type="spellEnd"/>
      <w:r w:rsidRPr="00B47B16">
        <w:rPr>
          <w:rStyle w:val="s0"/>
          <w:b/>
          <w:sz w:val="22"/>
          <w:szCs w:val="22"/>
          <w:lang w:val="en-US"/>
        </w:rPr>
        <w:t xml:space="preserve"> </w:t>
      </w:r>
      <w:proofErr w:type="spellStart"/>
      <w:r w:rsidRPr="00B47B16">
        <w:rPr>
          <w:rStyle w:val="s0"/>
          <w:b/>
          <w:sz w:val="22"/>
          <w:szCs w:val="22"/>
        </w:rPr>
        <w:t>бойынша</w:t>
      </w:r>
      <w:proofErr w:type="spellEnd"/>
      <w:r w:rsidRPr="00B47B16">
        <w:rPr>
          <w:rStyle w:val="s0"/>
          <w:b/>
          <w:sz w:val="22"/>
          <w:szCs w:val="22"/>
          <w:lang w:val="en-US"/>
        </w:rPr>
        <w:t xml:space="preserve"> </w:t>
      </w:r>
      <w:proofErr w:type="spellStart"/>
      <w:r w:rsidRPr="00B47B16">
        <w:rPr>
          <w:rStyle w:val="s0"/>
          <w:b/>
          <w:sz w:val="22"/>
          <w:szCs w:val="22"/>
        </w:rPr>
        <w:t>электр</w:t>
      </w:r>
      <w:proofErr w:type="spellEnd"/>
      <w:r w:rsidRPr="00B47B16">
        <w:rPr>
          <w:rStyle w:val="s0"/>
          <w:b/>
          <w:sz w:val="22"/>
          <w:szCs w:val="22"/>
          <w:lang w:val="en-US"/>
        </w:rPr>
        <w:t xml:space="preserve"> </w:t>
      </w:r>
      <w:proofErr w:type="spellStart"/>
      <w:r w:rsidRPr="00B47B16">
        <w:rPr>
          <w:rStyle w:val="s0"/>
          <w:b/>
          <w:sz w:val="22"/>
          <w:szCs w:val="22"/>
        </w:rPr>
        <w:t>энергиясын</w:t>
      </w:r>
      <w:proofErr w:type="spellEnd"/>
      <w:r w:rsidRPr="00B47B16">
        <w:rPr>
          <w:rStyle w:val="s0"/>
          <w:b/>
          <w:sz w:val="22"/>
          <w:szCs w:val="22"/>
          <w:lang w:val="en-US"/>
        </w:rPr>
        <w:t xml:space="preserve"> </w:t>
      </w:r>
      <w:r>
        <w:rPr>
          <w:rStyle w:val="s0"/>
          <w:b/>
          <w:sz w:val="22"/>
          <w:szCs w:val="22"/>
          <w:lang w:val="kk-KZ"/>
        </w:rPr>
        <w:t>жеткізу</w:t>
      </w:r>
      <w:r w:rsidRPr="00B47B16">
        <w:rPr>
          <w:rStyle w:val="s0"/>
          <w:b/>
          <w:sz w:val="22"/>
          <w:szCs w:val="22"/>
          <w:lang w:val="en-US"/>
        </w:rPr>
        <w:t xml:space="preserve"> </w:t>
      </w:r>
      <w:proofErr w:type="spellStart"/>
      <w:r w:rsidRPr="00B47B16">
        <w:rPr>
          <w:rStyle w:val="s0"/>
          <w:b/>
          <w:sz w:val="22"/>
          <w:szCs w:val="22"/>
        </w:rPr>
        <w:t>және</w:t>
      </w:r>
      <w:proofErr w:type="spellEnd"/>
      <w:r w:rsidRPr="00B47B16">
        <w:rPr>
          <w:rStyle w:val="s0"/>
          <w:b/>
          <w:sz w:val="22"/>
          <w:szCs w:val="22"/>
          <w:lang w:val="en-US"/>
        </w:rPr>
        <w:t xml:space="preserve"> </w:t>
      </w:r>
      <w:r>
        <w:rPr>
          <w:rStyle w:val="s0"/>
          <w:b/>
          <w:sz w:val="22"/>
          <w:szCs w:val="22"/>
          <w:lang w:val="kk-KZ"/>
        </w:rPr>
        <w:t>бөлу</w:t>
      </w:r>
      <w:r w:rsidRPr="00B47B16">
        <w:rPr>
          <w:rStyle w:val="s0"/>
          <w:b/>
          <w:sz w:val="22"/>
          <w:szCs w:val="22"/>
          <w:lang w:val="en-US"/>
        </w:rPr>
        <w:t xml:space="preserve"> </w:t>
      </w:r>
      <w:proofErr w:type="spellStart"/>
      <w:r w:rsidRPr="00B47B16">
        <w:rPr>
          <w:rStyle w:val="s0"/>
          <w:b/>
          <w:sz w:val="22"/>
          <w:szCs w:val="22"/>
        </w:rPr>
        <w:t>қызмет</w:t>
      </w:r>
      <w:proofErr w:type="spellEnd"/>
      <w:r>
        <w:rPr>
          <w:rStyle w:val="s0"/>
          <w:b/>
          <w:sz w:val="22"/>
          <w:szCs w:val="22"/>
          <w:lang w:val="kk-KZ"/>
        </w:rPr>
        <w:t>ін</w:t>
      </w:r>
      <w:r w:rsidRPr="00B47B16">
        <w:rPr>
          <w:rStyle w:val="s0"/>
          <w:b/>
          <w:sz w:val="22"/>
          <w:szCs w:val="22"/>
          <w:lang w:val="en-US"/>
        </w:rPr>
        <w:t xml:space="preserve"> </w:t>
      </w:r>
      <w:proofErr w:type="spellStart"/>
      <w:r w:rsidRPr="00B47B16">
        <w:rPr>
          <w:rStyle w:val="s0"/>
          <w:b/>
          <w:sz w:val="22"/>
          <w:szCs w:val="22"/>
        </w:rPr>
        <w:t>көрсету</w:t>
      </w:r>
      <w:proofErr w:type="spellEnd"/>
      <w:r w:rsidRPr="00B47B16">
        <w:rPr>
          <w:rStyle w:val="s0"/>
          <w:b/>
          <w:sz w:val="22"/>
          <w:szCs w:val="22"/>
          <w:lang w:val="en-US"/>
        </w:rPr>
        <w:t xml:space="preserve"> </w:t>
      </w:r>
      <w:r>
        <w:rPr>
          <w:rStyle w:val="s0"/>
          <w:b/>
          <w:sz w:val="22"/>
          <w:szCs w:val="22"/>
          <w:lang w:val="kk-KZ"/>
        </w:rPr>
        <w:t xml:space="preserve">қарекеті </w:t>
      </w:r>
      <w:proofErr w:type="spellStart"/>
      <w:r w:rsidRPr="00B47B16">
        <w:rPr>
          <w:rStyle w:val="s0"/>
          <w:b/>
          <w:sz w:val="22"/>
          <w:szCs w:val="22"/>
        </w:rPr>
        <w:t>туралы</w:t>
      </w:r>
      <w:proofErr w:type="spellEnd"/>
      <w:r w:rsidR="007B7EEE" w:rsidRPr="00B47B16">
        <w:rPr>
          <w:rStyle w:val="s0"/>
          <w:b/>
          <w:sz w:val="22"/>
          <w:szCs w:val="22"/>
          <w:lang w:val="en-US"/>
        </w:rPr>
        <w:t xml:space="preserve"> </w:t>
      </w:r>
    </w:p>
    <w:p w:rsidR="00B47B16" w:rsidRPr="00B47B16" w:rsidRDefault="00B47B16" w:rsidP="007B7EEE">
      <w:pPr>
        <w:spacing w:after="0"/>
        <w:jc w:val="center"/>
        <w:rPr>
          <w:rStyle w:val="s0"/>
          <w:b/>
          <w:sz w:val="22"/>
          <w:szCs w:val="22"/>
          <w:lang w:val="kk-KZ"/>
        </w:rPr>
      </w:pPr>
      <w:r w:rsidRPr="00B47B16">
        <w:rPr>
          <w:rStyle w:val="s0"/>
          <w:b/>
          <w:sz w:val="22"/>
          <w:szCs w:val="22"/>
          <w:lang w:val="kk-KZ"/>
        </w:rPr>
        <w:t>"Алатау Жарық Компаниясы" АҚ (бұдан әрі - "АЖК" АҚ»)</w:t>
      </w:r>
      <w:r>
        <w:rPr>
          <w:rStyle w:val="s0"/>
          <w:b/>
          <w:sz w:val="22"/>
          <w:szCs w:val="22"/>
          <w:lang w:val="kk-KZ"/>
        </w:rPr>
        <w:t xml:space="preserve"> есебі</w:t>
      </w:r>
    </w:p>
    <w:p w:rsidR="00D86983" w:rsidRPr="00B47B16" w:rsidRDefault="00D86983" w:rsidP="007B7EEE">
      <w:pPr>
        <w:spacing w:after="0"/>
        <w:jc w:val="center"/>
        <w:rPr>
          <w:rStyle w:val="s0"/>
          <w:b/>
          <w:sz w:val="22"/>
          <w:szCs w:val="22"/>
          <w:lang w:val="kk-KZ"/>
        </w:rPr>
      </w:pPr>
    </w:p>
    <w:p w:rsidR="00665D50" w:rsidRPr="00B47B16" w:rsidRDefault="00B47B16" w:rsidP="00B47B1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lang w:val="kk-KZ"/>
        </w:rPr>
      </w:pPr>
      <w:r w:rsidRPr="00B47B16">
        <w:rPr>
          <w:rFonts w:ascii="Times New Roman" w:hAnsi="Times New Roman" w:cs="Times New Roman"/>
          <w:b/>
          <w:lang w:val="kk-KZ"/>
        </w:rPr>
        <w:t>Уәкілетті органның ведомствосы бекіткен 2019ж. бірінші жартыжылдығының қорытындылары бойынша инвестициялық бағдарламаның орындалуы</w:t>
      </w:r>
    </w:p>
    <w:p w:rsidR="0060061C" w:rsidRPr="0060061C" w:rsidRDefault="0060061C" w:rsidP="0060061C">
      <w:pPr>
        <w:pStyle w:val="a3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47B16">
        <w:rPr>
          <w:rFonts w:ascii="Times New Roman" w:hAnsi="Times New Roman" w:cs="Times New Roman"/>
          <w:b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82478">
        <w:rPr>
          <w:rFonts w:ascii="Times New Roman" w:hAnsi="Times New Roman" w:cs="Times New Roman"/>
          <w:sz w:val="20"/>
          <w:szCs w:val="20"/>
        </w:rPr>
        <w:t>млн.те</w:t>
      </w:r>
      <w:proofErr w:type="spellEnd"/>
      <w:r w:rsidR="00582478">
        <w:rPr>
          <w:rFonts w:ascii="Times New Roman" w:hAnsi="Times New Roman" w:cs="Times New Roman"/>
          <w:sz w:val="20"/>
          <w:szCs w:val="20"/>
          <w:lang w:val="kk-KZ"/>
        </w:rPr>
        <w:t>ң</w:t>
      </w:r>
      <w:proofErr w:type="spellStart"/>
      <w:r w:rsidRPr="0060061C">
        <w:rPr>
          <w:rFonts w:ascii="Times New Roman" w:hAnsi="Times New Roman" w:cs="Times New Roman"/>
          <w:sz w:val="20"/>
          <w:szCs w:val="20"/>
        </w:rPr>
        <w:t>ге</w:t>
      </w:r>
      <w:proofErr w:type="spellEnd"/>
    </w:p>
    <w:tbl>
      <w:tblPr>
        <w:tblW w:w="15168" w:type="dxa"/>
        <w:tblInd w:w="-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545"/>
        <w:gridCol w:w="1417"/>
        <w:gridCol w:w="1276"/>
        <w:gridCol w:w="1417"/>
        <w:gridCol w:w="7513"/>
      </w:tblGrid>
      <w:tr w:rsidR="00D86983" w:rsidRPr="00B2004A" w:rsidTr="0060061C">
        <w:trPr>
          <w:trHeight w:val="227"/>
        </w:trPr>
        <w:tc>
          <w:tcPr>
            <w:tcW w:w="3545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B2004A" w:rsidRDefault="00582478" w:rsidP="0058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Іс-шаралар атауы</w:t>
            </w:r>
            <w:r w:rsidR="00D86983" w:rsidRPr="00B20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B2004A" w:rsidRDefault="00582478" w:rsidP="0058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Жоспар</w:t>
            </w:r>
          </w:p>
        </w:tc>
        <w:tc>
          <w:tcPr>
            <w:tcW w:w="1276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B20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1417" w:type="dxa"/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  <w:hideMark/>
          </w:tcPr>
          <w:p w:rsidR="00D86983" w:rsidRPr="00B2004A" w:rsidRDefault="00582478" w:rsidP="0058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Орындалу </w:t>
            </w:r>
            <w:r w:rsidR="00D86983" w:rsidRPr="00B2004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% </w:t>
            </w:r>
          </w:p>
        </w:tc>
        <w:tc>
          <w:tcPr>
            <w:tcW w:w="7513" w:type="dxa"/>
            <w:vAlign w:val="center"/>
          </w:tcPr>
          <w:p w:rsidR="00D86983" w:rsidRPr="00B2004A" w:rsidRDefault="00582478" w:rsidP="005824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Негіздеме</w:t>
            </w:r>
          </w:p>
        </w:tc>
      </w:tr>
      <w:tr w:rsidR="00C94F8F" w:rsidRPr="00B2004A" w:rsidTr="0060061C">
        <w:trPr>
          <w:trHeight w:val="316"/>
        </w:trPr>
        <w:tc>
          <w:tcPr>
            <w:tcW w:w="3545" w:type="dxa"/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bottom"/>
            <w:hideMark/>
          </w:tcPr>
          <w:p w:rsidR="00582478" w:rsidRDefault="00582478" w:rsidP="005824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kk-KZ"/>
              </w:rPr>
              <w:t>Бөлуші электр тораптарын</w:t>
            </w:r>
          </w:p>
          <w:p w:rsidR="00C94F8F" w:rsidRPr="00B2004A" w:rsidRDefault="00582478" w:rsidP="005824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kk-KZ"/>
              </w:rPr>
              <w:t xml:space="preserve"> қайта құрылымдау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4 776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431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9%</w:t>
            </w:r>
          </w:p>
        </w:tc>
        <w:tc>
          <w:tcPr>
            <w:tcW w:w="7513" w:type="dxa"/>
            <w:vMerge w:val="restart"/>
            <w:vAlign w:val="center"/>
          </w:tcPr>
          <w:p w:rsidR="00C94F8F" w:rsidRPr="00B2004A" w:rsidRDefault="00582478" w:rsidP="0058247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Табиғи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монополия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субъектісінің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қызметін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реттейтін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нормативтік-құқықтық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актілерге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сәйкес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инвестициялық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бағдарламаның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көрсеткіштері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бір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жылға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бекітіледі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бұл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ретте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іс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жүзіндегі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көрсеткіштер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жартыжылдық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қ</w:t>
            </w:r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а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берілді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орындалуы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5%. "АЖК" АҚ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ж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ыл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қорытындысы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нда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бекітілген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ИБ</w:t>
            </w:r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көрсеткіштері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толық</w:t>
            </w:r>
            <w:proofErr w:type="spellEnd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орындал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ады деп</w:t>
            </w:r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болжа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п отыр</w:t>
            </w:r>
            <w:r w:rsidRPr="00582478">
              <w:rPr>
                <w:rFonts w:ascii="Times New Roman" w:hAnsi="Times New Roman" w:cs="Times New Roman"/>
                <w:i/>
                <w:sz w:val="16"/>
                <w:szCs w:val="16"/>
              </w:rPr>
              <w:t>.</w:t>
            </w:r>
          </w:p>
        </w:tc>
      </w:tr>
      <w:tr w:rsidR="00C94F8F" w:rsidRPr="00B2004A" w:rsidTr="0060061C">
        <w:trPr>
          <w:trHeight w:val="316"/>
        </w:trPr>
        <w:tc>
          <w:tcPr>
            <w:tcW w:w="3545" w:type="dxa"/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bottom"/>
            <w:hideMark/>
          </w:tcPr>
          <w:p w:rsidR="00C94F8F" w:rsidRPr="00B2004A" w:rsidRDefault="00582478" w:rsidP="005824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kk-KZ"/>
              </w:rPr>
              <w:t>ЭЖЖ салу, қайта құрылымдау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1 112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vMerge/>
          </w:tcPr>
          <w:p w:rsidR="00C94F8F" w:rsidRPr="00B2004A" w:rsidRDefault="00C94F8F" w:rsidP="00A2336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C94F8F" w:rsidRPr="00B2004A" w:rsidTr="0060061C">
        <w:trPr>
          <w:trHeight w:val="316"/>
        </w:trPr>
        <w:tc>
          <w:tcPr>
            <w:tcW w:w="3545" w:type="dxa"/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bottom"/>
            <w:hideMark/>
          </w:tcPr>
          <w:p w:rsidR="00C94F8F" w:rsidRPr="00B2004A" w:rsidRDefault="00582478" w:rsidP="005824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kk-KZ"/>
              </w:rPr>
              <w:t>ҚС салу, қайта құрылымдау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3 301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7513" w:type="dxa"/>
            <w:vMerge/>
          </w:tcPr>
          <w:p w:rsidR="00C94F8F" w:rsidRPr="00B2004A" w:rsidRDefault="00C94F8F" w:rsidP="00A2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C94F8F" w:rsidRPr="00B2004A" w:rsidTr="0060061C">
        <w:trPr>
          <w:trHeight w:val="316"/>
        </w:trPr>
        <w:tc>
          <w:tcPr>
            <w:tcW w:w="3545" w:type="dxa"/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bottom"/>
            <w:hideMark/>
          </w:tcPr>
          <w:p w:rsidR="00C94F8F" w:rsidRPr="00B2004A" w:rsidRDefault="00C94F8F" w:rsidP="005824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en-US"/>
              </w:rPr>
              <w:t xml:space="preserve">SCADA, </w:t>
            </w:r>
            <w:r w:rsid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  <w:lang w:val="kk-KZ"/>
              </w:rPr>
              <w:t>ЭКЕАЖ енгізу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2 309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113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5%</w:t>
            </w:r>
          </w:p>
        </w:tc>
        <w:tc>
          <w:tcPr>
            <w:tcW w:w="7513" w:type="dxa"/>
            <w:vMerge/>
          </w:tcPr>
          <w:p w:rsidR="00C94F8F" w:rsidRPr="00B2004A" w:rsidRDefault="00C94F8F" w:rsidP="00A2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C94F8F" w:rsidRPr="00B2004A" w:rsidTr="0060061C">
        <w:trPr>
          <w:trHeight w:val="448"/>
        </w:trPr>
        <w:tc>
          <w:tcPr>
            <w:tcW w:w="3545" w:type="dxa"/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bottom"/>
            <w:hideMark/>
          </w:tcPr>
          <w:p w:rsidR="00C94F8F" w:rsidRPr="00B2004A" w:rsidRDefault="00582478" w:rsidP="00582478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Өндірістік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қызмет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процесіне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тікелей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қатысатын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өндірістік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активтер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мен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өзге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де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негізгі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құралдарды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жөндеуге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,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негізгі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құралдар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мен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материалдық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емес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активтерді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сатып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алуға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арналған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өзге</w:t>
            </w:r>
            <w:proofErr w:type="spellEnd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 xml:space="preserve"> де </w:t>
            </w:r>
            <w:proofErr w:type="spellStart"/>
            <w:r w:rsidRPr="00582478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шығындар</w:t>
            </w:r>
            <w:proofErr w:type="spellEnd"/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sz w:val="16"/>
                <w:szCs w:val="16"/>
              </w:rPr>
              <w:t>335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i/>
                <w:iCs/>
                <w:sz w:val="16"/>
                <w:szCs w:val="16"/>
              </w:rPr>
              <w:t>21%</w:t>
            </w:r>
          </w:p>
        </w:tc>
        <w:tc>
          <w:tcPr>
            <w:tcW w:w="7513" w:type="dxa"/>
            <w:vMerge/>
            <w:vAlign w:val="center"/>
          </w:tcPr>
          <w:p w:rsidR="00C94F8F" w:rsidRPr="00B2004A" w:rsidRDefault="00C94F8F" w:rsidP="004818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eastAsia="ru-RU"/>
              </w:rPr>
            </w:pPr>
          </w:p>
        </w:tc>
      </w:tr>
      <w:tr w:rsidR="00C94F8F" w:rsidRPr="00B2004A" w:rsidTr="0060061C">
        <w:trPr>
          <w:trHeight w:val="316"/>
        </w:trPr>
        <w:tc>
          <w:tcPr>
            <w:tcW w:w="3545" w:type="dxa"/>
            <w:shd w:val="clear" w:color="auto" w:fill="auto"/>
            <w:tcMar>
              <w:top w:w="13" w:type="dxa"/>
              <w:left w:w="117" w:type="dxa"/>
              <w:bottom w:w="0" w:type="dxa"/>
              <w:right w:w="13" w:type="dxa"/>
            </w:tcMar>
            <w:vAlign w:val="bottom"/>
            <w:hideMark/>
          </w:tcPr>
          <w:p w:rsidR="00C94F8F" w:rsidRPr="00582478" w:rsidRDefault="00582478" w:rsidP="00C94F8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  <w:lang w:val="kk-KZ"/>
              </w:rPr>
              <w:t>Барлығы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11 833</w:t>
            </w:r>
          </w:p>
        </w:tc>
        <w:tc>
          <w:tcPr>
            <w:tcW w:w="127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F2CE3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616</w:t>
            </w:r>
          </w:p>
        </w:tc>
        <w:tc>
          <w:tcPr>
            <w:tcW w:w="141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94F8F" w:rsidRPr="00B2004A" w:rsidRDefault="00C94F8F" w:rsidP="00C94F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B2004A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5%</w:t>
            </w:r>
          </w:p>
        </w:tc>
        <w:tc>
          <w:tcPr>
            <w:tcW w:w="7513" w:type="dxa"/>
            <w:vMerge/>
          </w:tcPr>
          <w:p w:rsidR="00C94F8F" w:rsidRPr="00B2004A" w:rsidRDefault="00C94F8F" w:rsidP="00A23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</w:p>
        </w:tc>
      </w:tr>
    </w:tbl>
    <w:p w:rsidR="00D86983" w:rsidRPr="00B2004A" w:rsidRDefault="00D86983" w:rsidP="00D8698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86983" w:rsidRPr="00B2004A" w:rsidRDefault="00582478" w:rsidP="00D86983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  <w:u w:val="single"/>
          <w:lang w:val="kk-KZ"/>
        </w:rPr>
        <w:t>ИБ-ны іске асыру нәтижелері</w:t>
      </w:r>
      <w:r w:rsidR="00D86983" w:rsidRPr="00B2004A">
        <w:rPr>
          <w:rFonts w:ascii="Times New Roman" w:hAnsi="Times New Roman" w:cs="Times New Roman"/>
          <w:b/>
          <w:sz w:val="16"/>
          <w:szCs w:val="16"/>
          <w:u w:val="single"/>
        </w:rPr>
        <w:t>:</w:t>
      </w:r>
    </w:p>
    <w:p w:rsidR="00C629B2" w:rsidRPr="00B2004A" w:rsidRDefault="00582478" w:rsidP="00C629B2">
      <w:pPr>
        <w:pStyle w:val="a3"/>
        <w:ind w:left="144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582478">
        <w:rPr>
          <w:rFonts w:ascii="Times New Roman" w:eastAsia="Times New Roman" w:hAnsi="Times New Roman"/>
          <w:color w:val="000000"/>
          <w:sz w:val="16"/>
          <w:szCs w:val="16"/>
        </w:rPr>
        <w:t xml:space="preserve">2009 </w:t>
      </w:r>
      <w:proofErr w:type="spellStart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>жылдан</w:t>
      </w:r>
      <w:proofErr w:type="spellEnd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>бастап</w:t>
      </w:r>
      <w:proofErr w:type="spellEnd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 xml:space="preserve"> 2019 </w:t>
      </w:r>
      <w:proofErr w:type="spellStart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>жылдың</w:t>
      </w:r>
      <w:proofErr w:type="spellEnd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>бірінші</w:t>
      </w:r>
      <w:proofErr w:type="spellEnd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>жартыжылдығын</w:t>
      </w:r>
      <w:proofErr w:type="spellEnd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>қоса</w:t>
      </w:r>
      <w:proofErr w:type="spellEnd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>алғандағы</w:t>
      </w:r>
      <w:proofErr w:type="spellEnd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582478">
        <w:rPr>
          <w:rFonts w:ascii="Times New Roman" w:eastAsia="Times New Roman" w:hAnsi="Times New Roman"/>
          <w:color w:val="000000"/>
          <w:sz w:val="16"/>
          <w:szCs w:val="16"/>
        </w:rPr>
        <w:t>кезең</w:t>
      </w:r>
      <w:proofErr w:type="spellEnd"/>
      <w:r w:rsidR="0008152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де</w:t>
      </w:r>
      <w:r w:rsidR="00C629B2" w:rsidRPr="00B2004A">
        <w:rPr>
          <w:rFonts w:ascii="Times New Roman" w:eastAsia="Times New Roman" w:hAnsi="Times New Roman"/>
          <w:color w:val="000000"/>
          <w:sz w:val="16"/>
          <w:szCs w:val="16"/>
        </w:rPr>
        <w:t>:</w:t>
      </w:r>
    </w:p>
    <w:p w:rsidR="002A5F05" w:rsidRPr="00B2004A" w:rsidRDefault="00CB5AF5" w:rsidP="00CB5AF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Азиада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объектілерін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электрмен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жабдықтау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үшін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төрт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қосалқы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станция – "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" ҚС, "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Медеу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" ҚС, "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Шымбұлақ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" ҚС, "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ҚазМУ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" ҚС; Метрополитен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объектілерін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электрмен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жабдықтау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үшін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бес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қосалқы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станция –"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–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Бесағаш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– А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ЖЭО</w:t>
      </w:r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" 220кВ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</w:t>
      </w:r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ЭЖ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Ж</w:t>
      </w:r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-мен "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Отырар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"</w:t>
      </w: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 ҚС, "Алатау" ҚС, "Новая" №16 Қ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С</w:t>
      </w:r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, "Топливная" ҚС, "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Бесағаш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" ҚС,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сол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арқылы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Алматы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қаласын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айнал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дыра</w:t>
      </w:r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220кВ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-тық</w:t>
      </w:r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сақина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тұйықталды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; ТКШ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объектілерін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электрмен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жабдықтау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үшін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бес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қосалқы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станция -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</w:t>
      </w:r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"Алтай" ҚС, "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Мамыр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" ҚС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, </w:t>
      </w:r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"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Есентай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"ҚС,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</w:t>
      </w:r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"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Жас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қанат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" ҚС. 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Қуаттың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жалпы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өсімі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1 852 МВА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құрады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.</w:t>
      </w:r>
    </w:p>
    <w:p w:rsidR="002A5F05" w:rsidRPr="00B2004A" w:rsidRDefault="00CB5AF5" w:rsidP="00CB5AF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Арман, Центральный,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Самал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,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Сайран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,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Новозападная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, Южная,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Геологострой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, Топливная,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Талғар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 w:rsidR="0027688F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110кВ-</w:t>
      </w:r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ҚС-</w:t>
      </w:r>
      <w:r w:rsidR="0027688F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ны</w:t>
      </w:r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қайта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құр</w:t>
      </w:r>
      <w:proofErr w:type="spellEnd"/>
      <w:r w:rsidR="0027688F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ылымда</w:t>
      </w:r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у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орындалды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,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бұл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ретте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қуат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өсімі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 xml:space="preserve"> 307 МВА </w:t>
      </w:r>
      <w:proofErr w:type="spellStart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құрады</w:t>
      </w:r>
      <w:proofErr w:type="spellEnd"/>
      <w:r w:rsidRPr="00CB5AF5">
        <w:rPr>
          <w:rFonts w:ascii="Times New Roman" w:eastAsia="Times New Roman" w:hAnsi="Times New Roman"/>
          <w:color w:val="000000"/>
          <w:sz w:val="16"/>
          <w:szCs w:val="16"/>
        </w:rPr>
        <w:t>.</w:t>
      </w:r>
    </w:p>
    <w:p w:rsidR="002A5F05" w:rsidRPr="00B2004A" w:rsidRDefault="0027688F" w:rsidP="0027688F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Т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опырақтың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құлауы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және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ҚС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бұзылуының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жоғары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қаупі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себебінен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</w:rPr>
        <w:t>"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Горный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Гигант" ҚС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-да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қалыптасқан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төтенше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жағдайға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байланысты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, 2016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жылдан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бастап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"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Горный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Гигант"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131А </w:t>
      </w:r>
      <w:r>
        <w:rPr>
          <w:rFonts w:ascii="Times New Roman" w:eastAsia="Times New Roman" w:hAnsi="Times New Roman"/>
          <w:color w:val="000000"/>
          <w:sz w:val="16"/>
          <w:szCs w:val="16"/>
        </w:rPr>
        <w:t>220/110/10-6кВ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ҚС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-дан жүктемені 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"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"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220/110/-10-6кВ-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ҚС-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ға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110кВ-тық тораптар бойынша көшіру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жұмыстар</w:t>
      </w:r>
      <w:proofErr w:type="spellEnd"/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ы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жүргізілуде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.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Жобаны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іске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асырудың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мақсаты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- 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Алматы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қаласының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тұтынушыларын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электрмен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жабдықтауды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қамтамасыз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ету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және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110А/111А, 163А/164А, 153А, №148А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110кВ-ЭЖЖ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жүктемелерін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"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"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ҚС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ға 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көшіру</w:t>
      </w:r>
      <w:proofErr w:type="spellEnd"/>
      <w:proofErr w:type="gram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болып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табылады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.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Жоба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шеңберінде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жаңадан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салынған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барлық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4</w:t>
      </w:r>
      <w:r w:rsidR="005172F5">
        <w:rPr>
          <w:rFonts w:ascii="Times New Roman" w:eastAsia="Times New Roman" w:hAnsi="Times New Roman"/>
          <w:color w:val="000000"/>
          <w:sz w:val="16"/>
          <w:szCs w:val="16"/>
        </w:rPr>
        <w:t xml:space="preserve"> (№110А </w:t>
      </w:r>
      <w:r w:rsid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Ж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,</w:t>
      </w:r>
      <w:r w:rsid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№111А </w:t>
      </w:r>
      <w:r w:rsid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Ж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,</w:t>
      </w:r>
      <w:r w:rsid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№163А </w:t>
      </w:r>
      <w:r w:rsid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Ж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,</w:t>
      </w:r>
      <w:r w:rsid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№164А </w:t>
      </w:r>
      <w:r w:rsid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Ж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)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ұзындығы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10,295 км 110кВ </w:t>
      </w:r>
      <w:proofErr w:type="spellStart"/>
      <w:proofErr w:type="gram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және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 №</w:t>
      </w:r>
      <w:proofErr w:type="gram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148А, 153А </w:t>
      </w:r>
      <w:r w:rsidR="005172F5" w:rsidRPr="0027688F">
        <w:rPr>
          <w:rFonts w:ascii="Times New Roman" w:eastAsia="Times New Roman" w:hAnsi="Times New Roman"/>
          <w:color w:val="000000"/>
          <w:sz w:val="16"/>
          <w:szCs w:val="16"/>
        </w:rPr>
        <w:t>110кВ</w:t>
      </w:r>
      <w:r w:rsid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ӘЖ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жұмыс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кернеуіне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қосылған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және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жүктемеге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қойылған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,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осылайша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"</w:t>
      </w:r>
      <w:r w:rsid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Горный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Гигант" ҚС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жүктемелері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"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Ерменсай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"</w:t>
      </w:r>
      <w:r w:rsid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ҚС</w:t>
      </w:r>
      <w:r w:rsid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-ға</w:t>
      </w:r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ауыстырылды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. 2019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жылы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 №2333А, 2343А </w:t>
      </w:r>
      <w:r w:rsid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220кв-ЭЖЖ-ны сымды композиттік өзекшесі бар 2333-Ж-ға ауыстырумен 110кВ-тық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кернеуге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ауыстыру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жұмыстары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жоспарланған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.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Аяқтау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 xml:space="preserve"> 2019 </w:t>
      </w:r>
      <w:proofErr w:type="spellStart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жылы</w:t>
      </w:r>
      <w:proofErr w:type="spellEnd"/>
      <w:r w:rsidRPr="0027688F">
        <w:rPr>
          <w:rFonts w:ascii="Times New Roman" w:eastAsia="Times New Roman" w:hAnsi="Times New Roman"/>
          <w:color w:val="000000"/>
          <w:sz w:val="16"/>
          <w:szCs w:val="16"/>
        </w:rPr>
        <w:t>.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</w:t>
      </w:r>
    </w:p>
    <w:p w:rsidR="002A5F05" w:rsidRPr="00E202D8" w:rsidRDefault="005172F5" w:rsidP="005172F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«Бесағаш» 220кВ-ҚС-ға №120АИ 110кВ-ӘЖ кіріс-шығысымен және композиттік сымға ауыстырумен №</w:t>
      </w:r>
      <w:r w:rsidRPr="005172F5">
        <w:rPr>
          <w:rFonts w:ascii="Times New Roman" w:eastAsia="Times New Roman" w:hAnsi="Times New Roman"/>
          <w:color w:val="000000"/>
          <w:sz w:val="16"/>
          <w:szCs w:val="16"/>
        </w:rPr>
        <w:t>102А, 105А, 109А, 120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АИ </w:t>
      </w:r>
      <w:r w:rsidRPr="005172F5">
        <w:rPr>
          <w:rFonts w:ascii="Times New Roman" w:eastAsia="Times New Roman" w:hAnsi="Times New Roman"/>
          <w:color w:val="000000"/>
          <w:sz w:val="16"/>
          <w:szCs w:val="16"/>
        </w:rPr>
        <w:t>110кВ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</w:t>
      </w:r>
      <w:r w:rsidRPr="005172F5">
        <w:rPr>
          <w:rFonts w:ascii="Times New Roman" w:eastAsia="Times New Roman" w:hAnsi="Times New Roman"/>
          <w:color w:val="000000"/>
          <w:sz w:val="16"/>
          <w:szCs w:val="16"/>
        </w:rPr>
        <w:t>ӘЖ-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ні қайта құрылымдау ж</w:t>
      </w:r>
      <w:proofErr w:type="spellStart"/>
      <w:r w:rsidRPr="005172F5">
        <w:rPr>
          <w:rFonts w:ascii="Times New Roman" w:eastAsia="Times New Roman" w:hAnsi="Times New Roman"/>
          <w:color w:val="000000"/>
          <w:sz w:val="16"/>
          <w:szCs w:val="16"/>
        </w:rPr>
        <w:t>ұмыстары</w:t>
      </w:r>
      <w:proofErr w:type="spellEnd"/>
      <w:r w:rsidRPr="005172F5">
        <w:rPr>
          <w:rFonts w:ascii="Times New Roman" w:eastAsia="Times New Roman" w:hAnsi="Times New Roman"/>
          <w:color w:val="000000"/>
          <w:sz w:val="16"/>
          <w:szCs w:val="16"/>
        </w:rPr>
        <w:t xml:space="preserve"> </w:t>
      </w:r>
      <w:proofErr w:type="spellStart"/>
      <w:r w:rsidRPr="005172F5">
        <w:rPr>
          <w:rFonts w:ascii="Times New Roman" w:eastAsia="Times New Roman" w:hAnsi="Times New Roman"/>
          <w:color w:val="000000"/>
          <w:sz w:val="16"/>
          <w:szCs w:val="16"/>
        </w:rPr>
        <w:t>жалғасуда</w:t>
      </w:r>
      <w:proofErr w:type="spellEnd"/>
      <w:r w:rsidRPr="005172F5">
        <w:rPr>
          <w:rFonts w:ascii="Times New Roman" w:eastAsia="Times New Roman" w:hAnsi="Times New Roman"/>
          <w:color w:val="000000"/>
          <w:sz w:val="16"/>
          <w:szCs w:val="16"/>
        </w:rPr>
        <w:t xml:space="preserve">.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№78, №81 тіректерге дейін «Бесағаш» №166А 220/110/10кВ-ҚС-ға кіріс-шығысымен салынған №120АИ 110кВ-КЖ жұмыс</w:t>
      </w:r>
      <w:r w:rsidRP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кернеуіне қосылған. 2019 жылы 110кВ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-ӘЖ</w:t>
      </w:r>
      <w:r w:rsidRP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композиттік сымдары үшін желілік-аспалы арматура және 16И "</w:t>
      </w:r>
      <w:r w:rsid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Н</w:t>
      </w:r>
      <w:r w:rsidRP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ЯЦ" </w:t>
      </w:r>
      <w:r w:rsid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ҚС-ға арналған </w:t>
      </w:r>
      <w:r w:rsidRP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А</w:t>
      </w:r>
      <w:r w:rsid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ЖЭО</w:t>
      </w:r>
      <w:r w:rsidRP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-3</w:t>
      </w:r>
      <w:r w:rsid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 110кВ-АБҚ ұяшықтары үшін</w:t>
      </w:r>
      <w:r w:rsidRPr="005172F5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жабдықтар сатып алу және монтаждау қарастырылған. </w:t>
      </w:r>
      <w:r w:rsidRP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110кВ</w:t>
      </w:r>
      <w:r w:rsid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-ЭЖЖ-ны </w:t>
      </w:r>
      <w:r w:rsidRP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қайта құр</w:t>
      </w:r>
      <w:r w:rsid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ылымда</w:t>
      </w:r>
      <w:r w:rsidRP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у </w:t>
      </w:r>
      <w:r w:rsid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АЖЭО-3 </w:t>
      </w:r>
      <w:r w:rsidRP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автотрансформаторларын жеңілдетуге және  А</w:t>
      </w:r>
      <w:r w:rsid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ЖЭО</w:t>
      </w:r>
      <w:r w:rsidRP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-3- №16И "</w:t>
      </w:r>
      <w:r w:rsid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Н</w:t>
      </w:r>
      <w:r w:rsidRP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ЯЦ"</w:t>
      </w:r>
      <w:r w:rsid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ҚС 110кВ-тық торап</w:t>
      </w:r>
      <w:r w:rsidRP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транзитінің өткізу қабілетін арттыруға мүмкіндік береді.</w:t>
      </w:r>
      <w:r w:rsidR="007A3A95" w:rsidRP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</w:t>
      </w:r>
    </w:p>
    <w:p w:rsidR="002A5F05" w:rsidRPr="00E202D8" w:rsidRDefault="00E202D8" w:rsidP="002A5F0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№</w:t>
      </w:r>
      <w:r w:rsidR="002A5F05" w:rsidRP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37А «Поршень»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ҚС-ның жүктемесінің жартысын №</w:t>
      </w:r>
      <w:r w:rsidR="002A5F05" w:rsidRP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151А «Райымбек»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ҚС-ға көшіру, 1А ҚС ауданында 1-ЭТА бойынша қолданыстағы 6кВ-тық тораптарды 10кВ-ға көшіру, қолданыстағы 6кВ-тық тораптарды 41-БП-дан 10кВ-қа көшіру бойынша жұмыстарды жүргізу аяқталды</w:t>
      </w:r>
      <w:r w:rsidR="002A5F05" w:rsidRP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;</w:t>
      </w:r>
    </w:p>
    <w:p w:rsidR="002A5F05" w:rsidRPr="00E202D8" w:rsidRDefault="00E202D8" w:rsidP="002A5F0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3А ҚС (168А) және 6А ҚС аумағында БП-ны және ТҚС-ны қайта құрылымдау бойынша, сондай-ақ 5-ЭТА-да 6кВ-тық кернеуді 10кВ-ға көшірумен ТҚС-ны қайта құрылымдау және ауыстыру бойынша жұмыстар аяқталды</w:t>
      </w:r>
      <w:r w:rsidR="002A5F05" w:rsidRPr="00E202D8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.</w:t>
      </w:r>
    </w:p>
    <w:p w:rsidR="002A5F05" w:rsidRPr="003B264D" w:rsidRDefault="004E76EC" w:rsidP="002A5F0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Қолданыстағы </w:t>
      </w:r>
      <w:r w:rsidR="002A5F05"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22А, 50А, 100А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ҚС 6кВ-тық тораптарын </w:t>
      </w:r>
      <w:r w:rsidR="002A5F05"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150А «Алмалы»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ҚС 10кВ-ЭЖЖ-дан және Жаңадан салынған </w:t>
      </w:r>
      <w:r w:rsidR="002A5F05"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«Медеу»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ҚС мен</w:t>
      </w:r>
      <w:r w:rsidR="002A5F05"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«Шымб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ұ</w:t>
      </w:r>
      <w:r w:rsidR="002A5F05"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ла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қ</w:t>
      </w:r>
      <w:r w:rsidR="002A5F05"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»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ҚС-дан 10кВ-тық кернеуге көшіру, жүктемені </w:t>
      </w:r>
      <w:r w:rsidR="002A5F05"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№19А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ҚС-дан жаңадан салынған</w:t>
      </w:r>
      <w:r w:rsidR="002A5F05"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«Мамыр»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ҚС-ға көшіру</w:t>
      </w:r>
      <w:r w:rsidR="002A5F05"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қолданыстағы </w:t>
      </w:r>
      <w:r w:rsidR="002A5F05"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№5А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ҚС</w:t>
      </w:r>
      <w:r w:rsidR="002A5F05"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,  №17А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ҚС және</w:t>
      </w:r>
      <w:r w:rsidR="002A5F05"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№132А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ҚС-дан жүктеме жартысын жаңадан салынған </w:t>
      </w:r>
      <w:r w:rsidR="002A5F05"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№163А «Отрар»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</w:t>
      </w:r>
      <w:r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110/10-10кВ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-ҚС-ға көшіру</w:t>
      </w:r>
      <w:r w:rsidR="002A5F05" w:rsidRPr="004E76E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,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артық жүктелген ТҚС жүктемесін азайту үшін қолданыстағы ТҚС-ны қайта құрылымдаумен, жаңадан салумен, өздігінен ұстасатын оқшауланған сымға ауыстырумен 1-ЭТА, 4-ЭТА, 5-ЭТА, 7-ЭТА бойынша 0,4кВ-ӘЖ-ні қайта құрылымдау және жаңадан салу бойынша, пайдалану талаптарына сәйкес емес 6-10/0,4кВ-ТҚС-ны қайта құрылымдау, сондай-ақ 42-БП 6кВ-тық тораптар жабдықтарын қайта құрылымдау және 42-БП 6кВ-тық тораптарын 10кВ жоғары кернеуге ауыстыру бойынша жұмыстар жалғасуда. </w:t>
      </w:r>
      <w:r w:rsidR="003B264D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Жобаларды іске асыру нәтижелері – </w:t>
      </w:r>
      <w:r w:rsidR="003B264D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lastRenderedPageBreak/>
        <w:t>«АЖК» АҚ электр тораптарында ысыраптардың азаюы, сондай-ақ 6кВ-тық электр тораптарын 10кВ-ға көшіру және 35кВ кернеу класын жою жолымен 10кВ бөлу тораптарының босату қабілетінің ұлғаюы</w:t>
      </w:r>
      <w:r w:rsidR="002A5F05" w:rsidRPr="003B264D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. </w:t>
      </w:r>
    </w:p>
    <w:p w:rsidR="002A5F05" w:rsidRPr="0002220B" w:rsidRDefault="0002220B" w:rsidP="0002220B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  <w:lang w:val="kk-KZ"/>
        </w:rPr>
      </w:pPr>
      <w:r w:rsidRP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"Талғар" №58И 110/35/10кВ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-ҚС-ны </w:t>
      </w:r>
      <w:r w:rsidRP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110кВ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-АБҚ</w:t>
      </w:r>
      <w:r w:rsidRP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, 35кВ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-ЖБҚ</w:t>
      </w:r>
      <w:r w:rsidRP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, 10кВ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-ЖБҚ</w:t>
      </w:r>
      <w:r w:rsidRP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жабдықтарын ауыстыра отырып және қуаты 2х25 МВА трансформаторларын жарылыс пен өрттің алдын алу жүйесі бар қуаты 2х40 МВА трансформаторларына ауыстыра отырып, қай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та құрылымдау  жұмыстарын жүргізу  аяқталды</w:t>
      </w:r>
      <w:r w:rsidR="002A5F05" w:rsidRP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. </w:t>
      </w:r>
    </w:p>
    <w:p w:rsidR="0007207F" w:rsidRPr="0002220B" w:rsidRDefault="0002220B" w:rsidP="0002220B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  <w:lang w:val="kk-KZ"/>
        </w:rPr>
      </w:pPr>
      <w:r w:rsidRP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Алматы қаласы мен Алматы облысы бойынша 6/10-0,4 кВ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-тық тораптарды</w:t>
      </w:r>
      <w:r w:rsidRP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қайта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құрылымдау</w:t>
      </w:r>
      <w:r w:rsidRP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жобасы аясында бір жақты және анкерлік тіректерді орнату, магистральды 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ӨҰОС</w:t>
      </w:r>
      <w:r w:rsidRP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монтаждау, ескі тіректер мен жалаң сымдарды бөлшектеу, абоненттерді қосуды орындау бойынша жұмыстар  жалғасуда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.</w:t>
      </w:r>
      <w:r w:rsidR="00B2004A" w:rsidRP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</w:t>
      </w:r>
    </w:p>
    <w:p w:rsidR="002A5F05" w:rsidRPr="002F7EB7" w:rsidRDefault="002A5F05" w:rsidP="007A3A95">
      <w:pPr>
        <w:pStyle w:val="a3"/>
        <w:numPr>
          <w:ilvl w:val="0"/>
          <w:numId w:val="15"/>
        </w:numPr>
        <w:jc w:val="both"/>
        <w:rPr>
          <w:rFonts w:ascii="Times New Roman" w:eastAsia="Times New Roman" w:hAnsi="Times New Roman"/>
          <w:color w:val="000000"/>
          <w:sz w:val="16"/>
          <w:szCs w:val="16"/>
          <w:lang w:val="kk-KZ"/>
        </w:rPr>
      </w:pPr>
      <w:r w:rsidRPr="00A04D2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2013-2018 </w:t>
      </w:r>
      <w:r w:rsid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жалдардағы ЭКЕАЖ жасау бағдарламасы шеңберінде ішіне бағдарламалық қамтамасыз ету және серверлік жабдық кіретін ЭКЕАЖ ақпаратты өңдеудің орталық торабы жасалған. </w:t>
      </w:r>
      <w:r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«АЖК» </w:t>
      </w:r>
      <w:r w:rsid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АҚ </w:t>
      </w:r>
      <w:r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  «KEGOC»</w:t>
      </w:r>
      <w:r w:rsid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АҚ теңгерімдік тиесілілік шегінің шекарасында ҚС-ны қамтитын жөғары деңгейлі жоба іске асырылған, тұтынушыларға </w:t>
      </w:r>
      <w:r w:rsidR="002F7EB7"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201 448 </w:t>
      </w:r>
      <w:r w:rsid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мөлшерінде </w:t>
      </w:r>
      <w:r w:rsidR="0002220B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ЕА орнату бойынша төмен</w:t>
      </w:r>
      <w:r w:rsid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гі деңгейлі жоба іске асырылған</w:t>
      </w:r>
      <w:r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,</w:t>
      </w:r>
      <w:r w:rsid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соның ішінде </w:t>
      </w:r>
      <w:r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2018 </w:t>
      </w:r>
      <w:r w:rsid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жылы</w:t>
      </w:r>
      <w:r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– 36 501 </w:t>
      </w:r>
      <w:r w:rsid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дана және ТҚС-да </w:t>
      </w:r>
      <w:r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УСПД </w:t>
      </w:r>
      <w:r w:rsid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шкафтары</w:t>
      </w:r>
      <w:r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1 399 </w:t>
      </w:r>
      <w:r w:rsid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дана</w:t>
      </w:r>
      <w:r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, </w:t>
      </w:r>
      <w:r w:rsid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ЭКЕАЖ жабдығы</w:t>
      </w:r>
      <w:r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(</w:t>
      </w:r>
      <w:r w:rsid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есептеу аспаптары және УСПД) </w:t>
      </w:r>
      <w:r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57 </w:t>
      </w:r>
      <w:r w:rsid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ҚС-да және</w:t>
      </w:r>
      <w:r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91 </w:t>
      </w:r>
      <w:r w:rsid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Б</w:t>
      </w:r>
      <w:r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П</w:t>
      </w:r>
      <w:r w:rsid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-да орнатылған</w:t>
      </w:r>
      <w:r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,  41 501 </w:t>
      </w:r>
      <w:r w:rsid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дана мөлшерінде лицензия алынған</w:t>
      </w:r>
      <w:r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.</w:t>
      </w:r>
      <w:r w:rsidR="007A3A95"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</w:t>
      </w:r>
      <w:r w:rsidR="00B2004A"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2019 </w:t>
      </w:r>
      <w:r w:rsid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жылы ЭКЕАЖ ақпараттық жүйелерін интеграциялау шеңберінде «АЖК» АҚ корпоративтік торап кластерінің қолданыстағы инфрақұрылымын жаңғырту және дамыту бойынша кешенді жұмыстар орындалған</w:t>
      </w:r>
      <w:r w:rsidR="00B2004A" w:rsidRPr="002F7EB7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.</w:t>
      </w:r>
    </w:p>
    <w:p w:rsidR="00D86983" w:rsidRPr="002F7EB7" w:rsidRDefault="00D86983" w:rsidP="00D86983">
      <w:pPr>
        <w:pStyle w:val="a3"/>
        <w:ind w:left="1440"/>
        <w:jc w:val="both"/>
        <w:rPr>
          <w:rFonts w:ascii="Times New Roman" w:eastAsia="Times New Roman" w:hAnsi="Times New Roman"/>
          <w:color w:val="000000"/>
          <w:sz w:val="16"/>
          <w:szCs w:val="16"/>
          <w:lang w:val="kk-KZ"/>
        </w:rPr>
      </w:pPr>
    </w:p>
    <w:p w:rsidR="00DF57A4" w:rsidRPr="002F7EB7" w:rsidRDefault="002F7EB7" w:rsidP="00DF57A4">
      <w:pPr>
        <w:pStyle w:val="a3"/>
        <w:numPr>
          <w:ilvl w:val="0"/>
          <w:numId w:val="1"/>
        </w:numPr>
        <w:spacing w:after="0"/>
        <w:ind w:left="0"/>
        <w:jc w:val="both"/>
        <w:rPr>
          <w:rStyle w:val="s0"/>
          <w:b/>
          <w:color w:val="auto"/>
          <w:sz w:val="22"/>
          <w:szCs w:val="22"/>
          <w:lang w:val="kk-KZ"/>
        </w:rPr>
      </w:pPr>
      <w:r w:rsidRPr="002F7EB7">
        <w:rPr>
          <w:rFonts w:ascii="Times New Roman" w:hAnsi="Times New Roman" w:cs="Times New Roman"/>
          <w:b/>
          <w:lang w:val="kk-KZ"/>
        </w:rPr>
        <w:t>2019</w:t>
      </w:r>
      <w:r>
        <w:rPr>
          <w:rFonts w:ascii="Times New Roman" w:hAnsi="Times New Roman" w:cs="Times New Roman"/>
          <w:b/>
          <w:lang w:val="kk-KZ"/>
        </w:rPr>
        <w:t>ж</w:t>
      </w:r>
      <w:r w:rsidR="00DF57A4" w:rsidRPr="002F7EB7">
        <w:rPr>
          <w:rFonts w:ascii="Times New Roman" w:hAnsi="Times New Roman" w:cs="Times New Roman"/>
          <w:b/>
          <w:lang w:val="kk-KZ"/>
        </w:rPr>
        <w:t>.</w:t>
      </w:r>
      <w:r>
        <w:rPr>
          <w:rFonts w:ascii="Times New Roman" w:hAnsi="Times New Roman" w:cs="Times New Roman"/>
          <w:b/>
          <w:lang w:val="kk-KZ"/>
        </w:rPr>
        <w:t xml:space="preserve"> бірінші жартыжылдығының қорытындысы бойынша «АЖК» АҚ қарекетінің негізгі қаржылық-экономикалық көрсеткіштері</w:t>
      </w:r>
      <w:r w:rsidR="00DF57A4" w:rsidRPr="002F7EB7">
        <w:rPr>
          <w:rStyle w:val="s0"/>
          <w:b/>
          <w:sz w:val="22"/>
          <w:szCs w:val="22"/>
          <w:lang w:val="kk-KZ"/>
        </w:rPr>
        <w:t xml:space="preserve"> </w:t>
      </w:r>
    </w:p>
    <w:p w:rsidR="00DF57A4" w:rsidRPr="002F7EB7" w:rsidRDefault="00DF57A4" w:rsidP="00DF57A4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lang w:val="kk-KZ"/>
        </w:rPr>
      </w:pPr>
    </w:p>
    <w:p w:rsidR="00F748FD" w:rsidRPr="002F7EB7" w:rsidRDefault="002F7EB7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2F7EB7">
        <w:rPr>
          <w:rFonts w:ascii="Times New Roman" w:hAnsi="Times New Roman" w:cs="Times New Roman"/>
          <w:sz w:val="16"/>
          <w:szCs w:val="16"/>
          <w:lang w:val="kk-KZ"/>
        </w:rPr>
        <w:t>Түсім-18 485 млн. теңге</w:t>
      </w:r>
      <w:r w:rsidR="00F748FD" w:rsidRPr="002F7EB7">
        <w:rPr>
          <w:rFonts w:ascii="Times New Roman" w:hAnsi="Times New Roman" w:cs="Times New Roman"/>
          <w:sz w:val="16"/>
          <w:szCs w:val="16"/>
          <w:lang w:val="kk-KZ"/>
        </w:rPr>
        <w:t>;</w:t>
      </w:r>
    </w:p>
    <w:p w:rsidR="00F748FD" w:rsidRPr="002F7EB7" w:rsidRDefault="002F7EB7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2F7EB7">
        <w:rPr>
          <w:rFonts w:ascii="Times New Roman" w:hAnsi="Times New Roman" w:cs="Times New Roman"/>
          <w:sz w:val="16"/>
          <w:szCs w:val="16"/>
          <w:lang w:val="kk-KZ"/>
        </w:rPr>
        <w:t>сатылған қызметтердің өзіндік құны-15 143 млн. теңге</w:t>
      </w:r>
      <w:r w:rsidR="00F748FD" w:rsidRPr="002F7EB7">
        <w:rPr>
          <w:rFonts w:ascii="Times New Roman" w:hAnsi="Times New Roman" w:cs="Times New Roman"/>
          <w:sz w:val="16"/>
          <w:szCs w:val="16"/>
          <w:lang w:val="kk-KZ"/>
        </w:rPr>
        <w:t>;</w:t>
      </w:r>
    </w:p>
    <w:p w:rsidR="00F748FD" w:rsidRPr="004B29FF" w:rsidRDefault="002F7EB7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F7EB7">
        <w:rPr>
          <w:rFonts w:ascii="Times New Roman" w:hAnsi="Times New Roman" w:cs="Times New Roman"/>
          <w:sz w:val="16"/>
          <w:szCs w:val="16"/>
        </w:rPr>
        <w:t>жалпы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 пайда-3 343 млн.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теңге</w:t>
      </w:r>
      <w:proofErr w:type="spellEnd"/>
      <w:r w:rsidR="00F748FD" w:rsidRPr="004B29FF">
        <w:rPr>
          <w:rFonts w:ascii="Times New Roman" w:hAnsi="Times New Roman" w:cs="Times New Roman"/>
          <w:sz w:val="16"/>
          <w:szCs w:val="16"/>
        </w:rPr>
        <w:t>;</w:t>
      </w:r>
    </w:p>
    <w:p w:rsidR="00F748FD" w:rsidRPr="004B29FF" w:rsidRDefault="002F7EB7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F7EB7">
        <w:rPr>
          <w:rFonts w:ascii="Times New Roman" w:hAnsi="Times New Roman" w:cs="Times New Roman"/>
          <w:sz w:val="16"/>
          <w:szCs w:val="16"/>
        </w:rPr>
        <w:t>қаржылық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және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өзге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кірістер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 – 169 млн.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теңге</w:t>
      </w:r>
      <w:proofErr w:type="spellEnd"/>
      <w:r w:rsidR="00F748FD" w:rsidRPr="004B29FF">
        <w:rPr>
          <w:rFonts w:ascii="Times New Roman" w:hAnsi="Times New Roman" w:cs="Times New Roman"/>
          <w:sz w:val="16"/>
          <w:szCs w:val="16"/>
        </w:rPr>
        <w:t>;</w:t>
      </w:r>
    </w:p>
    <w:p w:rsidR="00F748FD" w:rsidRPr="004B29FF" w:rsidRDefault="002F7EB7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F7EB7">
        <w:rPr>
          <w:rFonts w:ascii="Times New Roman" w:hAnsi="Times New Roman" w:cs="Times New Roman"/>
          <w:sz w:val="16"/>
          <w:szCs w:val="16"/>
        </w:rPr>
        <w:t>Жалпы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әкім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.,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басқалар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және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kk-KZ"/>
        </w:rPr>
        <w:t>қаржылық</w:t>
      </w:r>
      <w:r w:rsidRPr="002F7E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шығындар</w:t>
      </w:r>
      <w:proofErr w:type="spellEnd"/>
      <w:r>
        <w:rPr>
          <w:rFonts w:ascii="Times New Roman" w:hAnsi="Times New Roman" w:cs="Times New Roman"/>
          <w:sz w:val="16"/>
          <w:szCs w:val="16"/>
          <w:lang w:val="kk-KZ"/>
        </w:rPr>
        <w:t xml:space="preserve"> </w:t>
      </w:r>
      <w:r w:rsidRPr="002F7EB7">
        <w:rPr>
          <w:rFonts w:ascii="Times New Roman" w:hAnsi="Times New Roman" w:cs="Times New Roman"/>
          <w:sz w:val="16"/>
          <w:szCs w:val="16"/>
        </w:rPr>
        <w:t xml:space="preserve">-1 627 млн.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теңге</w:t>
      </w:r>
      <w:proofErr w:type="spellEnd"/>
      <w:r w:rsidR="00F748FD" w:rsidRPr="004B29FF">
        <w:rPr>
          <w:rFonts w:ascii="Times New Roman" w:hAnsi="Times New Roman" w:cs="Times New Roman"/>
          <w:sz w:val="16"/>
          <w:szCs w:val="16"/>
        </w:rPr>
        <w:t>;</w:t>
      </w:r>
    </w:p>
    <w:p w:rsidR="00F748FD" w:rsidRPr="002F7EB7" w:rsidRDefault="002F7EB7" w:rsidP="00F748FD">
      <w:pPr>
        <w:numPr>
          <w:ilvl w:val="0"/>
          <w:numId w:val="4"/>
        </w:numPr>
        <w:tabs>
          <w:tab w:val="left" w:pos="1276"/>
        </w:tabs>
        <w:spacing w:after="0" w:line="240" w:lineRule="auto"/>
        <w:ind w:left="567" w:firstLine="426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2F7EB7">
        <w:rPr>
          <w:rFonts w:ascii="Times New Roman" w:hAnsi="Times New Roman" w:cs="Times New Roman"/>
          <w:sz w:val="16"/>
          <w:szCs w:val="16"/>
        </w:rPr>
        <w:t>Бір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жылдағы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пайда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 (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салық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салынғаннан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кейін</w:t>
      </w:r>
      <w:proofErr w:type="spellEnd"/>
      <w:r w:rsidRPr="002F7EB7">
        <w:rPr>
          <w:rFonts w:ascii="Times New Roman" w:hAnsi="Times New Roman" w:cs="Times New Roman"/>
          <w:sz w:val="16"/>
          <w:szCs w:val="16"/>
        </w:rPr>
        <w:t xml:space="preserve">) – 1 446 </w:t>
      </w:r>
      <w:proofErr w:type="spellStart"/>
      <w:r w:rsidRPr="002F7EB7">
        <w:rPr>
          <w:rFonts w:ascii="Times New Roman" w:hAnsi="Times New Roman" w:cs="Times New Roman"/>
          <w:sz w:val="16"/>
          <w:szCs w:val="16"/>
        </w:rPr>
        <w:t>млн.теңге</w:t>
      </w:r>
      <w:proofErr w:type="spellEnd"/>
      <w:r w:rsidR="00F748FD" w:rsidRPr="004B29FF">
        <w:rPr>
          <w:rFonts w:ascii="Times New Roman" w:hAnsi="Times New Roman" w:cs="Times New Roman"/>
          <w:sz w:val="16"/>
          <w:szCs w:val="16"/>
        </w:rPr>
        <w:t>.</w:t>
      </w:r>
    </w:p>
    <w:p w:rsidR="00FA4EA2" w:rsidRPr="004B29FF" w:rsidRDefault="00FA4EA2" w:rsidP="00FA4EA2">
      <w:pPr>
        <w:tabs>
          <w:tab w:val="left" w:pos="1276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16"/>
          <w:szCs w:val="16"/>
        </w:rPr>
      </w:pPr>
    </w:p>
    <w:p w:rsidR="00F748FD" w:rsidRPr="004B29FF" w:rsidRDefault="00F748FD" w:rsidP="00F748FD">
      <w:pPr>
        <w:pStyle w:val="a3"/>
        <w:numPr>
          <w:ilvl w:val="0"/>
          <w:numId w:val="1"/>
        </w:numPr>
        <w:spacing w:after="0"/>
        <w:ind w:left="0"/>
        <w:jc w:val="both"/>
        <w:rPr>
          <w:rFonts w:ascii="Times New Roman" w:hAnsi="Times New Roman" w:cs="Times New Roman"/>
          <w:b/>
        </w:rPr>
      </w:pPr>
      <w:r w:rsidRPr="004B29FF">
        <w:rPr>
          <w:rFonts w:ascii="Times New Roman" w:hAnsi="Times New Roman" w:cs="Times New Roman"/>
          <w:b/>
        </w:rPr>
        <w:t xml:space="preserve"> </w:t>
      </w:r>
      <w:r w:rsidR="00686B2A" w:rsidRPr="002F7EB7">
        <w:rPr>
          <w:rFonts w:ascii="Times New Roman" w:hAnsi="Times New Roman" w:cs="Times New Roman"/>
          <w:b/>
          <w:lang w:val="kk-KZ"/>
        </w:rPr>
        <w:t>2019</w:t>
      </w:r>
      <w:r w:rsidR="00686B2A">
        <w:rPr>
          <w:rFonts w:ascii="Times New Roman" w:hAnsi="Times New Roman" w:cs="Times New Roman"/>
          <w:b/>
          <w:lang w:val="kk-KZ"/>
        </w:rPr>
        <w:t>ж</w:t>
      </w:r>
      <w:r w:rsidR="00686B2A" w:rsidRPr="002F7EB7">
        <w:rPr>
          <w:rFonts w:ascii="Times New Roman" w:hAnsi="Times New Roman" w:cs="Times New Roman"/>
          <w:b/>
          <w:lang w:val="kk-KZ"/>
        </w:rPr>
        <w:t>.</w:t>
      </w:r>
      <w:r w:rsidR="00686B2A">
        <w:rPr>
          <w:rFonts w:ascii="Times New Roman" w:hAnsi="Times New Roman" w:cs="Times New Roman"/>
          <w:b/>
          <w:lang w:val="kk-KZ"/>
        </w:rPr>
        <w:t xml:space="preserve"> бірінші жартыжылдығының қорытындысы бойынша реттеліп көрсетілген қызметтер көлемі</w:t>
      </w:r>
      <w:r w:rsidR="00DF57A4" w:rsidRPr="00DF57A4">
        <w:rPr>
          <w:rFonts w:ascii="Times New Roman" w:hAnsi="Times New Roman" w:cs="Times New Roman"/>
          <w:b/>
        </w:rPr>
        <w:t>.</w:t>
      </w:r>
    </w:p>
    <w:p w:rsidR="00686B2A" w:rsidRPr="00686B2A" w:rsidRDefault="00F748FD" w:rsidP="00F748FD">
      <w:pPr>
        <w:pStyle w:val="a3"/>
        <w:jc w:val="both"/>
        <w:rPr>
          <w:rFonts w:ascii="Times New Roman" w:hAnsi="Times New Roman" w:cs="Times New Roman"/>
          <w:sz w:val="16"/>
          <w:szCs w:val="16"/>
          <w:lang w:val="kk-KZ"/>
        </w:rPr>
      </w:pPr>
      <w:r w:rsidRPr="004B29FF">
        <w:rPr>
          <w:rFonts w:ascii="Times New Roman" w:hAnsi="Times New Roman" w:cs="Times New Roman"/>
          <w:sz w:val="16"/>
          <w:szCs w:val="16"/>
        </w:rPr>
        <w:tab/>
      </w:r>
      <w:r w:rsidR="00686B2A" w:rsidRPr="00686B2A">
        <w:rPr>
          <w:rFonts w:ascii="Times New Roman" w:hAnsi="Times New Roman" w:cs="Times New Roman"/>
          <w:sz w:val="16"/>
          <w:szCs w:val="16"/>
        </w:rPr>
        <w:t xml:space="preserve">Электр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энергиясын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r w:rsidR="00686B2A">
        <w:rPr>
          <w:rFonts w:ascii="Times New Roman" w:hAnsi="Times New Roman" w:cs="Times New Roman"/>
          <w:sz w:val="16"/>
          <w:szCs w:val="16"/>
          <w:lang w:val="kk-KZ"/>
        </w:rPr>
        <w:t>жеткізу және бөлу</w:t>
      </w:r>
      <w:r w:rsid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>
        <w:rPr>
          <w:rFonts w:ascii="Times New Roman" w:hAnsi="Times New Roman" w:cs="Times New Roman"/>
          <w:sz w:val="16"/>
          <w:szCs w:val="16"/>
        </w:rPr>
        <w:t>бойынша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реттеліп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көрсетілетін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қызметтердің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көлемі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2019ж.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бірінші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жарты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жылдығында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3 419 млн.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кВтс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құрады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.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Табиғи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монополия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субъектісінің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қызметін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реттейтін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нормативтік-құқықтық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актілерге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сәйкес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тарифтік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сметаның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көрсеткіштері</w:t>
      </w:r>
      <w:proofErr w:type="spellEnd"/>
      <w:r w:rsidR="00686B2A">
        <w:rPr>
          <w:rFonts w:ascii="Times New Roman" w:hAnsi="Times New Roman" w:cs="Times New Roman"/>
          <w:sz w:val="16"/>
          <w:szCs w:val="16"/>
          <w:lang w:val="kk-KZ"/>
        </w:rPr>
        <w:t>,</w:t>
      </w:r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оның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ішінде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реттеліп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көрсетілетін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қызметтердің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көлемі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бір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жылға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бекітіледі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іс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жүзіндегі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686B2A" w:rsidRPr="00686B2A">
        <w:rPr>
          <w:rFonts w:ascii="Times New Roman" w:hAnsi="Times New Roman" w:cs="Times New Roman"/>
          <w:sz w:val="16"/>
          <w:szCs w:val="16"/>
        </w:rPr>
        <w:t>көрсеткіштер</w:t>
      </w:r>
      <w:proofErr w:type="spellEnd"/>
      <w:r w:rsidR="00686B2A" w:rsidRPr="00686B2A">
        <w:rPr>
          <w:rFonts w:ascii="Times New Roman" w:hAnsi="Times New Roman" w:cs="Times New Roman"/>
          <w:sz w:val="16"/>
          <w:szCs w:val="16"/>
        </w:rPr>
        <w:t xml:space="preserve"> 2019ж.</w:t>
      </w:r>
      <w:r w:rsidR="00686B2A">
        <w:rPr>
          <w:rFonts w:ascii="Times New Roman" w:hAnsi="Times New Roman" w:cs="Times New Roman"/>
          <w:sz w:val="16"/>
          <w:szCs w:val="16"/>
          <w:lang w:val="kk-KZ"/>
        </w:rPr>
        <w:t xml:space="preserve"> бірінші жартыжылдығы бойынша ұсынылды.</w:t>
      </w:r>
    </w:p>
    <w:p w:rsidR="00F748FD" w:rsidRPr="00D72ADD" w:rsidRDefault="00F748FD" w:rsidP="00F748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A4EA2" w:rsidRPr="00D72ADD" w:rsidRDefault="00FA4EA2" w:rsidP="00F748FD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748FD" w:rsidRPr="004B29FF" w:rsidRDefault="00686B2A" w:rsidP="00686B2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Реттел</w:t>
      </w:r>
      <w:proofErr w:type="spellEnd"/>
      <w:r>
        <w:rPr>
          <w:rFonts w:ascii="Times New Roman" w:hAnsi="Times New Roman" w:cs="Times New Roman"/>
          <w:b/>
          <w:lang w:val="kk-KZ"/>
        </w:rPr>
        <w:t>іп көрсетілетін</w:t>
      </w:r>
      <w:r w:rsidRPr="00686B2A">
        <w:rPr>
          <w:rFonts w:ascii="Times New Roman" w:hAnsi="Times New Roman" w:cs="Times New Roman"/>
          <w:b/>
        </w:rPr>
        <w:t xml:space="preserve"> </w:t>
      </w:r>
      <w:proofErr w:type="spellStart"/>
      <w:r w:rsidRPr="00686B2A">
        <w:rPr>
          <w:rFonts w:ascii="Times New Roman" w:hAnsi="Times New Roman" w:cs="Times New Roman"/>
          <w:b/>
        </w:rPr>
        <w:t>қызметтерді</w:t>
      </w:r>
      <w:proofErr w:type="spellEnd"/>
      <w:r w:rsidRPr="00686B2A">
        <w:rPr>
          <w:rFonts w:ascii="Times New Roman" w:hAnsi="Times New Roman" w:cs="Times New Roman"/>
          <w:b/>
        </w:rPr>
        <w:t xml:space="preserve"> </w:t>
      </w:r>
      <w:proofErr w:type="spellStart"/>
      <w:r w:rsidRPr="00686B2A">
        <w:rPr>
          <w:rFonts w:ascii="Times New Roman" w:hAnsi="Times New Roman" w:cs="Times New Roman"/>
          <w:b/>
        </w:rPr>
        <w:t>тұтынушылармен</w:t>
      </w:r>
      <w:proofErr w:type="spellEnd"/>
      <w:r w:rsidRPr="00686B2A">
        <w:rPr>
          <w:rFonts w:ascii="Times New Roman" w:hAnsi="Times New Roman" w:cs="Times New Roman"/>
          <w:b/>
        </w:rPr>
        <w:t xml:space="preserve"> </w:t>
      </w:r>
      <w:proofErr w:type="spellStart"/>
      <w:r w:rsidRPr="00686B2A">
        <w:rPr>
          <w:rFonts w:ascii="Times New Roman" w:hAnsi="Times New Roman" w:cs="Times New Roman"/>
          <w:b/>
        </w:rPr>
        <w:t>жүргізілетін</w:t>
      </w:r>
      <w:proofErr w:type="spellEnd"/>
      <w:r w:rsidRPr="00686B2A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жұмыс</w:t>
      </w:r>
      <w:proofErr w:type="spellEnd"/>
    </w:p>
    <w:p w:rsidR="00686B2A" w:rsidRPr="00686B2A" w:rsidRDefault="00686B2A" w:rsidP="00686B2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686B2A">
        <w:rPr>
          <w:rFonts w:ascii="Times New Roman" w:hAnsi="Times New Roman" w:cs="Times New Roman"/>
          <w:bCs/>
          <w:sz w:val="16"/>
          <w:szCs w:val="16"/>
        </w:rPr>
        <w:t xml:space="preserve">Электр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энергиясын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Cs/>
          <w:sz w:val="16"/>
          <w:szCs w:val="16"/>
          <w:lang w:val="kk-KZ"/>
        </w:rPr>
        <w:t>жеткізу және бөлу</w:t>
      </w:r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бойынша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сапалы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және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үздіксіз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қызмет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көрсету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және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тұтынушылардың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көрсетілетін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қызметтердің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сапасына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қанағаттануын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арттыру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>;</w:t>
      </w:r>
    </w:p>
    <w:p w:rsidR="00686B2A" w:rsidRPr="00686B2A" w:rsidRDefault="00686B2A" w:rsidP="00686B2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686B2A">
        <w:rPr>
          <w:rFonts w:ascii="Times New Roman" w:hAnsi="Times New Roman" w:cs="Times New Roman"/>
          <w:bCs/>
          <w:sz w:val="16"/>
          <w:szCs w:val="16"/>
        </w:rPr>
        <w:t xml:space="preserve">Электр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энергиясының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көтерме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және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бөлшек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сауда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нарықтарында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уақтылы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және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сапалы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шарттар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жасасу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>;</w:t>
      </w:r>
    </w:p>
    <w:p w:rsidR="00686B2A" w:rsidRPr="00686B2A" w:rsidRDefault="00686B2A" w:rsidP="00686B2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r w:rsidRPr="00686B2A">
        <w:rPr>
          <w:rFonts w:ascii="Times New Roman" w:hAnsi="Times New Roman" w:cs="Times New Roman"/>
          <w:bCs/>
          <w:sz w:val="16"/>
          <w:szCs w:val="16"/>
        </w:rPr>
        <w:t xml:space="preserve">Алматы энергия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торабы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шекарасы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шегінде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электр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энергиясын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өндіру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>/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тұтынудың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тәуліктік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диспетчерлік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кестесінің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орындалуын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бақылау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>;</w:t>
      </w:r>
    </w:p>
    <w:p w:rsidR="00686B2A" w:rsidRPr="00686B2A" w:rsidRDefault="00686B2A" w:rsidP="00686B2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Тұтынушыларға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сұратылған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көлемде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қуаттарды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беру</w:t>
      </w:r>
      <w:r w:rsidRPr="00686B2A">
        <w:rPr>
          <w:rFonts w:ascii="Times New Roman" w:hAnsi="Times New Roman" w:cs="Times New Roman"/>
          <w:bCs/>
          <w:sz w:val="16"/>
          <w:szCs w:val="16"/>
        </w:rPr>
        <w:t xml:space="preserve"> (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техникалық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шарттарды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беру);</w:t>
      </w:r>
    </w:p>
    <w:p w:rsidR="00686B2A" w:rsidRPr="00686B2A" w:rsidRDefault="00686B2A" w:rsidP="00686B2A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Cs/>
          <w:sz w:val="16"/>
          <w:szCs w:val="16"/>
        </w:rPr>
      </w:pP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Тұтынушылар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үшін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техникалық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шарттарды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алу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рәсімін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оңайлату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шеңберінде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"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техникалық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шарттарды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алу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"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процедурасын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онлайн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режиміне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көш</w:t>
      </w:r>
      <w:proofErr w:type="spellEnd"/>
      <w:r>
        <w:rPr>
          <w:rFonts w:ascii="Times New Roman" w:hAnsi="Times New Roman" w:cs="Times New Roman"/>
          <w:bCs/>
          <w:sz w:val="16"/>
          <w:szCs w:val="16"/>
          <w:lang w:val="kk-KZ"/>
        </w:rPr>
        <w:t>ір</w:t>
      </w:r>
      <w:r w:rsidRPr="00686B2A">
        <w:rPr>
          <w:rFonts w:ascii="Times New Roman" w:hAnsi="Times New Roman" w:cs="Times New Roman"/>
          <w:bCs/>
          <w:sz w:val="16"/>
          <w:szCs w:val="16"/>
        </w:rPr>
        <w:t xml:space="preserve">у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бойынша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бағдарлама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енгізілді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(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электрондық-цифрлық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қолтаңба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арқылы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r w:rsidR="001A4A55" w:rsidRPr="00686B2A">
        <w:rPr>
          <w:rFonts w:ascii="Times New Roman" w:hAnsi="Times New Roman" w:cs="Times New Roman"/>
          <w:bCs/>
          <w:sz w:val="16"/>
          <w:szCs w:val="16"/>
        </w:rPr>
        <w:t xml:space="preserve">www.azhk.kz </w:t>
      </w:r>
      <w:r w:rsidR="001A4A55">
        <w:rPr>
          <w:rFonts w:ascii="Times New Roman" w:hAnsi="Times New Roman" w:cs="Times New Roman"/>
          <w:bCs/>
          <w:sz w:val="16"/>
          <w:szCs w:val="16"/>
        </w:rPr>
        <w:t>интернет-</w:t>
      </w:r>
      <w:r w:rsidR="001A4A55">
        <w:rPr>
          <w:rFonts w:ascii="Times New Roman" w:hAnsi="Times New Roman" w:cs="Times New Roman"/>
          <w:bCs/>
          <w:sz w:val="16"/>
          <w:szCs w:val="16"/>
          <w:lang w:val="kk-KZ"/>
        </w:rPr>
        <w:t>с</w:t>
      </w:r>
      <w:proofErr w:type="spellStart"/>
      <w:r w:rsidR="001A4A55" w:rsidRPr="00686B2A">
        <w:rPr>
          <w:rFonts w:ascii="Times New Roman" w:hAnsi="Times New Roman" w:cs="Times New Roman"/>
          <w:bCs/>
          <w:sz w:val="16"/>
          <w:szCs w:val="16"/>
        </w:rPr>
        <w:t>айт</w:t>
      </w:r>
      <w:proofErr w:type="spellEnd"/>
      <w:r w:rsidR="001A4A55">
        <w:rPr>
          <w:rFonts w:ascii="Times New Roman" w:hAnsi="Times New Roman" w:cs="Times New Roman"/>
          <w:bCs/>
          <w:sz w:val="16"/>
          <w:szCs w:val="16"/>
          <w:lang w:val="kk-KZ"/>
        </w:rPr>
        <w:t>ында</w:t>
      </w:r>
      <w:r w:rsidR="001A4A55"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өтініштерді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беру </w:t>
      </w:r>
      <w:proofErr w:type="spellStart"/>
      <w:r>
        <w:rPr>
          <w:rFonts w:ascii="Times New Roman" w:hAnsi="Times New Roman" w:cs="Times New Roman"/>
          <w:bCs/>
          <w:sz w:val="16"/>
          <w:szCs w:val="16"/>
        </w:rPr>
        <w:t>және</w:t>
      </w:r>
      <w:proofErr w:type="spellEnd"/>
      <w:r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дайындалған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техникалық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шарттарды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 xml:space="preserve"> </w:t>
      </w:r>
      <w:proofErr w:type="spellStart"/>
      <w:r w:rsidRPr="00686B2A">
        <w:rPr>
          <w:rFonts w:ascii="Times New Roman" w:hAnsi="Times New Roman" w:cs="Times New Roman"/>
          <w:bCs/>
          <w:sz w:val="16"/>
          <w:szCs w:val="16"/>
        </w:rPr>
        <w:t>алу</w:t>
      </w:r>
      <w:proofErr w:type="spellEnd"/>
      <w:r w:rsidRPr="00686B2A">
        <w:rPr>
          <w:rFonts w:ascii="Times New Roman" w:hAnsi="Times New Roman" w:cs="Times New Roman"/>
          <w:bCs/>
          <w:sz w:val="16"/>
          <w:szCs w:val="16"/>
        </w:rPr>
        <w:t>).</w:t>
      </w:r>
    </w:p>
    <w:p w:rsidR="00FA4EA2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1A4A55" w:rsidRPr="001A4A55" w:rsidRDefault="001A4A55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  <w:lang w:val="kk-KZ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CF2CE3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ED466A" w:rsidRPr="00CF2CE3" w:rsidRDefault="00ED466A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FA4EA2" w:rsidRPr="00A232F5" w:rsidRDefault="00FA4EA2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86AED" w:rsidRPr="00A232F5" w:rsidRDefault="00D86AED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86AED" w:rsidRPr="00A232F5" w:rsidRDefault="00D86AED" w:rsidP="00B2004A">
      <w:pPr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</w:p>
    <w:p w:rsidR="00DF57A4" w:rsidRDefault="001A4A55" w:rsidP="001A4A5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A4A55">
        <w:rPr>
          <w:rFonts w:ascii="Times New Roman" w:hAnsi="Times New Roman" w:cs="Times New Roman"/>
          <w:b/>
        </w:rPr>
        <w:lastRenderedPageBreak/>
        <w:t>2019ж.</w:t>
      </w:r>
      <w:r>
        <w:rPr>
          <w:rFonts w:ascii="Times New Roman" w:hAnsi="Times New Roman" w:cs="Times New Roman"/>
          <w:b/>
          <w:lang w:val="kk-KZ"/>
        </w:rPr>
        <w:t xml:space="preserve"> </w:t>
      </w:r>
      <w:proofErr w:type="spellStart"/>
      <w:r w:rsidRPr="001A4A55">
        <w:rPr>
          <w:rFonts w:ascii="Times New Roman" w:hAnsi="Times New Roman" w:cs="Times New Roman"/>
          <w:b/>
        </w:rPr>
        <w:t>б</w:t>
      </w:r>
      <w:r>
        <w:rPr>
          <w:rFonts w:ascii="Times New Roman" w:hAnsi="Times New Roman" w:cs="Times New Roman"/>
          <w:b/>
        </w:rPr>
        <w:t>ірінші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жарты</w:t>
      </w:r>
      <w:r w:rsidRPr="001A4A55">
        <w:rPr>
          <w:rFonts w:ascii="Times New Roman" w:hAnsi="Times New Roman" w:cs="Times New Roman"/>
          <w:b/>
        </w:rPr>
        <w:t>жылдығының</w:t>
      </w:r>
      <w:proofErr w:type="spellEnd"/>
      <w:r w:rsidRPr="001A4A55">
        <w:rPr>
          <w:rFonts w:ascii="Times New Roman" w:hAnsi="Times New Roman" w:cs="Times New Roman"/>
          <w:b/>
        </w:rPr>
        <w:t xml:space="preserve"> </w:t>
      </w:r>
      <w:proofErr w:type="spellStart"/>
      <w:r w:rsidRPr="001A4A55">
        <w:rPr>
          <w:rFonts w:ascii="Times New Roman" w:hAnsi="Times New Roman" w:cs="Times New Roman"/>
          <w:b/>
        </w:rPr>
        <w:t>қорытындысы</w:t>
      </w:r>
      <w:proofErr w:type="spellEnd"/>
      <w:r w:rsidRPr="001A4A55">
        <w:rPr>
          <w:rFonts w:ascii="Times New Roman" w:hAnsi="Times New Roman" w:cs="Times New Roman"/>
          <w:b/>
        </w:rPr>
        <w:t xml:space="preserve"> </w:t>
      </w:r>
      <w:proofErr w:type="spellStart"/>
      <w:r w:rsidRPr="001A4A55">
        <w:rPr>
          <w:rFonts w:ascii="Times New Roman" w:hAnsi="Times New Roman" w:cs="Times New Roman"/>
          <w:b/>
        </w:rPr>
        <w:t>бойынша</w:t>
      </w:r>
      <w:proofErr w:type="spellEnd"/>
      <w:r w:rsidRPr="001A4A55">
        <w:rPr>
          <w:rFonts w:ascii="Times New Roman" w:hAnsi="Times New Roman" w:cs="Times New Roman"/>
          <w:b/>
        </w:rPr>
        <w:t xml:space="preserve"> </w:t>
      </w:r>
      <w:proofErr w:type="spellStart"/>
      <w:r w:rsidRPr="001A4A55">
        <w:rPr>
          <w:rFonts w:ascii="Times New Roman" w:hAnsi="Times New Roman" w:cs="Times New Roman"/>
          <w:b/>
        </w:rPr>
        <w:t>бекі</w:t>
      </w:r>
      <w:r>
        <w:rPr>
          <w:rFonts w:ascii="Times New Roman" w:hAnsi="Times New Roman" w:cs="Times New Roman"/>
          <w:b/>
        </w:rPr>
        <w:t>тілген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тарифтік</w:t>
      </w:r>
      <w:proofErr w:type="spellEnd"/>
      <w:r>
        <w:rPr>
          <w:rFonts w:ascii="Times New Roman" w:hAnsi="Times New Roman" w:cs="Times New Roman"/>
          <w:b/>
        </w:rPr>
        <w:t xml:space="preserve"> сметаны </w:t>
      </w:r>
      <w:proofErr w:type="spellStart"/>
      <w:r>
        <w:rPr>
          <w:rFonts w:ascii="Times New Roman" w:hAnsi="Times New Roman" w:cs="Times New Roman"/>
          <w:b/>
        </w:rPr>
        <w:t>орындау</w:t>
      </w:r>
      <w:proofErr w:type="spellEnd"/>
    </w:p>
    <w:p w:rsidR="00A232F5" w:rsidRDefault="00A232F5" w:rsidP="00A232F5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tbl>
      <w:tblPr>
        <w:tblW w:w="12419" w:type="dxa"/>
        <w:tblInd w:w="93" w:type="dxa"/>
        <w:tblLook w:val="0600" w:firstRow="0" w:lastRow="0" w:firstColumn="0" w:lastColumn="0" w:noHBand="1" w:noVBand="1"/>
      </w:tblPr>
      <w:tblGrid>
        <w:gridCol w:w="917"/>
        <w:gridCol w:w="3206"/>
        <w:gridCol w:w="959"/>
        <w:gridCol w:w="1748"/>
        <w:gridCol w:w="1690"/>
        <w:gridCol w:w="1103"/>
        <w:gridCol w:w="2796"/>
      </w:tblGrid>
      <w:tr w:rsidR="00AD7E48" w:rsidRPr="00DC419F" w:rsidTr="00686B2A">
        <w:trPr>
          <w:trHeight w:val="269"/>
        </w:trPr>
        <w:tc>
          <w:tcPr>
            <w:tcW w:w="945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1A4A55" w:rsidP="001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р/с</w:t>
            </w:r>
          </w:p>
        </w:tc>
        <w:tc>
          <w:tcPr>
            <w:tcW w:w="3336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1A4A55" w:rsidP="001A4A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Көрсеткіштер атауы</w:t>
            </w:r>
          </w:p>
        </w:tc>
        <w:tc>
          <w:tcPr>
            <w:tcW w:w="959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1A4A55" w:rsidP="001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Өлшем бірлігі</w:t>
            </w:r>
          </w:p>
        </w:tc>
        <w:tc>
          <w:tcPr>
            <w:tcW w:w="3190" w:type="dxa"/>
            <w:gridSpan w:val="2"/>
            <w:tcBorders>
              <w:top w:val="single" w:sz="4" w:space="0" w:color="003300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1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2019</w:t>
            </w:r>
            <w:r w:rsidR="001A4A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ж</w:t>
            </w: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93" w:type="dxa"/>
            <w:tcBorders>
              <w:top w:val="single" w:sz="4" w:space="0" w:color="003300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1A4A55" w:rsidP="001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Орындалуы</w:t>
            </w:r>
          </w:p>
        </w:tc>
        <w:tc>
          <w:tcPr>
            <w:tcW w:w="2896" w:type="dxa"/>
            <w:vMerge w:val="restart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1A4A55" w:rsidP="001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Ауытқулар себептері</w:t>
            </w:r>
          </w:p>
        </w:tc>
      </w:tr>
      <w:tr w:rsidR="00AD7E48" w:rsidRPr="00DC419F" w:rsidTr="00686B2A">
        <w:trPr>
          <w:trHeight w:val="480"/>
        </w:trPr>
        <w:tc>
          <w:tcPr>
            <w:tcW w:w="945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232F5" w:rsidP="001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2019</w:t>
            </w:r>
            <w:r w:rsidR="001A4A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ж</w:t>
            </w: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</w:t>
            </w:r>
            <w:r w:rsidR="001A4A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 xml:space="preserve"> бекітілген</w:t>
            </w: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1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="001A4A5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1-жартыжылдықтағы ф</w:t>
            </w: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акт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896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63"/>
        </w:trPr>
        <w:tc>
          <w:tcPr>
            <w:tcW w:w="945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804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00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1A4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93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896" w:type="dxa"/>
            <w:vMerge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297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Тауарларды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ө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і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ж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ә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қ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ызметтер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ө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рсету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шы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ғ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ындары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барлы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ғ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, с.қ.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30 499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13 788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C8293C" w:rsidRDefault="00A04D27" w:rsidP="00C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Табиғи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монополия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субъектісінің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қызметін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реттейтін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нормативтік-құқықтық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актілерге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сәйкес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тарифтік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сметаның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көрсеткіштері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бір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жылға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бекітіледі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нақты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көрсеткіштер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жартыжылдыққа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берілді</w:t>
            </w:r>
            <w:proofErr w:type="spellEnd"/>
            <w:r w:rsidR="00C8293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A232F5" w:rsidRPr="00DC419F" w:rsidRDefault="00A04D27" w:rsidP="00C82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Сонымен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қатар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жыл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қорытындысы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бойынша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"АЖК" АҚ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бекітілген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тарифтік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смета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көрсеткіштері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толық</w:t>
            </w:r>
            <w:proofErr w:type="spellEnd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орындал</w:t>
            </w:r>
            <w:proofErr w:type="spellEnd"/>
            <w:r w:rsidR="00AD7E4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ады</w:t>
            </w:r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AD7E4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деп </w:t>
            </w:r>
            <w:proofErr w:type="spellStart"/>
            <w:r w:rsidRPr="00A04D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болжа</w:t>
            </w:r>
            <w:proofErr w:type="spellEnd"/>
            <w:r w:rsidR="00AD7E48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п отыр</w:t>
            </w:r>
          </w:p>
        </w:tc>
      </w:tr>
      <w:tr w:rsidR="00AD7E48" w:rsidRPr="00DC419F" w:rsidTr="00686B2A">
        <w:trPr>
          <w:trHeight w:val="133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Материал</w:t>
            </w:r>
            <w:r w:rsidR="00A04D27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дық шығындар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149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Аударымдармен бірге еңбекақы шығындары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7 751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4 074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227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Амортизация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7 100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3 859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424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Негізгі қорды ұлғайтуға алып келмейтін күрделі жөндеу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2 909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274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Нормативтік ысыраптар шығындары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10 463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4 475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Электр энергиясын өндіруді-тұтынуды теңгерімдеуді ұйымдастыру қызметі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131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Жиілікті реттеу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млн.тг</w:t>
            </w:r>
            <w:proofErr w:type="spellEnd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262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Бөгде ұйымдар қызметі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237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Кезеңдегі барлық шығындар</w:t>
            </w:r>
            <w:r w:rsidR="00A232F5"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с.қ.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3 161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1 440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410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Жалпы және әкімшілік шығындар, барлығы</w:t>
            </w:r>
            <w:r w:rsidR="00A232F5"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соның ішінде</w:t>
            </w:r>
            <w:r w:rsidR="00A232F5"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2 183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862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289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Аударымдармен бірге әкімшілік персоналдың еңбекақысы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194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9.2.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Салықтар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1 449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113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9.3.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Басқа да шығындар</w:t>
            </w:r>
            <w:r w:rsidR="00A232F5"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барлығы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244"/>
        </w:trPr>
        <w:tc>
          <w:tcPr>
            <w:tcW w:w="945" w:type="dxa"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Сыйақылар төлеуге арналған шығындар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млн.тг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978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135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III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Барлық кірістер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млн.тг</w:t>
            </w:r>
            <w:proofErr w:type="spellEnd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40 567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18 258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238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IV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Қызметтерді көрсетуге арналған барлық шығындар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млн.тг</w:t>
            </w:r>
            <w:proofErr w:type="spellEnd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33 660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15 228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45%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174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232F5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r w:rsidR="00A04D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айда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млн.тг</w:t>
            </w:r>
            <w:proofErr w:type="spellEnd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6 907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3 029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44%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293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04D27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Көрсетілетін қызметтер (тауарлар, жұмыстар) көлемі</w:t>
            </w:r>
            <w:r w:rsidR="00A232F5"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млн/</w:t>
            </w:r>
            <w:proofErr w:type="spellStart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7 199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3 419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47%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218"/>
        </w:trPr>
        <w:tc>
          <w:tcPr>
            <w:tcW w:w="945" w:type="dxa"/>
            <w:vMerge w:val="restart"/>
            <w:tcBorders>
              <w:top w:val="nil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</w:t>
            </w:r>
          </w:p>
        </w:tc>
        <w:tc>
          <w:tcPr>
            <w:tcW w:w="3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232F5" w:rsidP="00A04D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Норматив</w:t>
            </w:r>
            <w:r w:rsidR="00A04D2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kk-KZ" w:eastAsia="ru-RU"/>
              </w:rPr>
              <w:t>тік техникалық ысыраптар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13,84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13,83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99,90%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195"/>
        </w:trPr>
        <w:tc>
          <w:tcPr>
            <w:tcW w:w="945" w:type="dxa"/>
            <w:vMerge/>
            <w:tcBorders>
              <w:top w:val="nil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млн/</w:t>
            </w:r>
            <w:proofErr w:type="spellStart"/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1 159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00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46%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D7E48" w:rsidRPr="00DC419F" w:rsidTr="00686B2A">
        <w:trPr>
          <w:trHeight w:val="879"/>
        </w:trPr>
        <w:tc>
          <w:tcPr>
            <w:tcW w:w="945" w:type="dxa"/>
            <w:tcBorders>
              <w:top w:val="nil"/>
              <w:left w:val="single" w:sz="8" w:space="0" w:color="000000"/>
              <w:bottom w:val="single" w:sz="4" w:space="0" w:color="0033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VIII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0033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Тариф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33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04D27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ң</w:t>
            </w:r>
            <w:proofErr w:type="spellStart"/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</w:t>
            </w:r>
            <w:proofErr w:type="spellEnd"/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кВтч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0033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5,63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33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5,34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003300"/>
              <w:right w:val="single" w:sz="4" w:space="0" w:color="003300"/>
            </w:tcBorders>
            <w:shd w:val="clear" w:color="auto" w:fill="auto"/>
            <w:vAlign w:val="center"/>
            <w:hideMark/>
          </w:tcPr>
          <w:p w:rsidR="00A232F5" w:rsidRPr="00DC419F" w:rsidRDefault="00A232F5" w:rsidP="00686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32F5" w:rsidRPr="00DC419F" w:rsidRDefault="00AD7E48" w:rsidP="00AD7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2019ж. бекітілген 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тариф  - 5,63 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ң</w:t>
            </w:r>
            <w:proofErr w:type="spellStart"/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</w:t>
            </w:r>
            <w:proofErr w:type="spellEnd"/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/кВт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ҚҚС-сыз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Уәкілетті орган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01.01.2019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бастап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31.07.2019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дейін уақытша өтемдеу тарифін 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5,34 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ң</w:t>
            </w:r>
            <w:proofErr w:type="spellStart"/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</w:t>
            </w:r>
            <w:proofErr w:type="spellEnd"/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/кВт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ҚҚС-сыз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мөлшерінде енгізген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Тиісінше тариф деңгейі 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01.01.2019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ж. бастап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31.07.2019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дейін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- 5,34 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ң</w:t>
            </w:r>
            <w:proofErr w:type="spellStart"/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</w:t>
            </w:r>
            <w:proofErr w:type="spellEnd"/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/кВт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ҚҚС-сыз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), 01.08.2019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бастап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31.12.2019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ж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дейін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- 5,63 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ң</w:t>
            </w:r>
            <w:proofErr w:type="spellStart"/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</w:t>
            </w:r>
            <w:proofErr w:type="spellEnd"/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/кВт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ҚҚС-сыз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Бұл ретте орташа жылдық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тариф  5,46 те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ң</w:t>
            </w:r>
            <w:proofErr w:type="spellStart"/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ге</w:t>
            </w:r>
            <w:proofErr w:type="spellEnd"/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/кВт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с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ҚҚС-сыз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құрайды</w:t>
            </w:r>
            <w:r w:rsidR="00A232F5" w:rsidRPr="00DC41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</w:tr>
    </w:tbl>
    <w:p w:rsidR="00672047" w:rsidRDefault="00672047" w:rsidP="00672047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DF57A4" w:rsidRDefault="00DF57A4" w:rsidP="00FA4EA2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D86AED" w:rsidRDefault="00D86AED" w:rsidP="00FA4EA2">
      <w:pPr>
        <w:pStyle w:val="a3"/>
        <w:spacing w:after="0"/>
        <w:ind w:left="0"/>
        <w:jc w:val="both"/>
        <w:rPr>
          <w:rFonts w:ascii="Times New Roman" w:hAnsi="Times New Roman" w:cs="Times New Roman"/>
          <w:b/>
        </w:rPr>
      </w:pPr>
    </w:p>
    <w:p w:rsidR="00F748FD" w:rsidRPr="00B2004A" w:rsidRDefault="00F748FD" w:rsidP="00F748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4B29FF">
        <w:t xml:space="preserve"> </w:t>
      </w:r>
      <w:r w:rsidR="00AD7E48" w:rsidRPr="00AD7E48">
        <w:rPr>
          <w:rFonts w:ascii="Times New Roman" w:hAnsi="Times New Roman" w:cs="Times New Roman"/>
          <w:b/>
          <w:lang w:val="kk-KZ"/>
        </w:rPr>
        <w:t>Қызмет перспективалары туралы</w:t>
      </w:r>
      <w:r w:rsidR="004B29FF" w:rsidRPr="00B2004A">
        <w:rPr>
          <w:rFonts w:ascii="Times New Roman" w:hAnsi="Times New Roman" w:cs="Times New Roman"/>
          <w:b/>
        </w:rPr>
        <w:t xml:space="preserve"> (</w:t>
      </w:r>
      <w:r w:rsidR="00AD7E48">
        <w:rPr>
          <w:rFonts w:ascii="Times New Roman" w:hAnsi="Times New Roman" w:cs="Times New Roman"/>
          <w:b/>
          <w:lang w:val="kk-KZ"/>
        </w:rPr>
        <w:t>даму жоспары</w:t>
      </w:r>
      <w:r w:rsidR="004B29FF" w:rsidRPr="00B2004A">
        <w:rPr>
          <w:rFonts w:ascii="Times New Roman" w:hAnsi="Times New Roman" w:cs="Times New Roman"/>
          <w:b/>
        </w:rPr>
        <w:t>)</w:t>
      </w:r>
    </w:p>
    <w:p w:rsidR="00F748FD" w:rsidRPr="00B2004A" w:rsidRDefault="00F748FD" w:rsidP="00F748FD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D7E48" w:rsidRPr="00AD7E48" w:rsidRDefault="00F748FD" w:rsidP="00AD7E48">
      <w:pPr>
        <w:pStyle w:val="a3"/>
        <w:spacing w:after="0"/>
        <w:ind w:left="709"/>
        <w:rPr>
          <w:rFonts w:ascii="Times New Roman" w:hAnsi="Times New Roman" w:cs="Times New Roman"/>
          <w:b/>
          <w:sz w:val="16"/>
          <w:szCs w:val="16"/>
        </w:rPr>
      </w:pPr>
      <w:r w:rsidRPr="00B2004A">
        <w:rPr>
          <w:rFonts w:ascii="Times New Roman" w:hAnsi="Times New Roman" w:cs="Times New Roman"/>
          <w:b/>
          <w:sz w:val="16"/>
          <w:szCs w:val="16"/>
        </w:rPr>
        <w:t xml:space="preserve">6.1. </w:t>
      </w:r>
      <w:r w:rsidR="00AD7E48" w:rsidRPr="00AD7E48">
        <w:rPr>
          <w:rFonts w:ascii="Times New Roman" w:hAnsi="Times New Roman" w:cs="Times New Roman"/>
          <w:b/>
          <w:sz w:val="16"/>
          <w:szCs w:val="16"/>
        </w:rPr>
        <w:t>"АЖК" АҚ-</w:t>
      </w:r>
      <w:proofErr w:type="spellStart"/>
      <w:r w:rsidR="00AD7E48" w:rsidRPr="00AD7E48">
        <w:rPr>
          <w:rFonts w:ascii="Times New Roman" w:hAnsi="Times New Roman" w:cs="Times New Roman"/>
          <w:b/>
          <w:sz w:val="16"/>
          <w:szCs w:val="16"/>
        </w:rPr>
        <w:t>н</w:t>
      </w:r>
      <w:r w:rsidR="00AD7E48">
        <w:rPr>
          <w:rFonts w:ascii="Times New Roman" w:hAnsi="Times New Roman" w:cs="Times New Roman"/>
          <w:b/>
          <w:sz w:val="16"/>
          <w:szCs w:val="16"/>
        </w:rPr>
        <w:t>ың</w:t>
      </w:r>
      <w:proofErr w:type="spellEnd"/>
      <w:r w:rsidR="00AD7E48">
        <w:rPr>
          <w:rFonts w:ascii="Times New Roman" w:hAnsi="Times New Roman" w:cs="Times New Roman"/>
          <w:b/>
          <w:sz w:val="16"/>
          <w:szCs w:val="16"/>
        </w:rPr>
        <w:t xml:space="preserve"> 2019-2020 </w:t>
      </w:r>
      <w:proofErr w:type="spellStart"/>
      <w:r w:rsidR="00AD7E48">
        <w:rPr>
          <w:rFonts w:ascii="Times New Roman" w:hAnsi="Times New Roman" w:cs="Times New Roman"/>
          <w:b/>
          <w:sz w:val="16"/>
          <w:szCs w:val="16"/>
        </w:rPr>
        <w:t>жылдарға</w:t>
      </w:r>
      <w:proofErr w:type="spellEnd"/>
      <w:r w:rsidR="00AD7E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D7E48">
        <w:rPr>
          <w:rFonts w:ascii="Times New Roman" w:hAnsi="Times New Roman" w:cs="Times New Roman"/>
          <w:b/>
          <w:sz w:val="16"/>
          <w:szCs w:val="16"/>
        </w:rPr>
        <w:t>арналған</w:t>
      </w:r>
      <w:proofErr w:type="spellEnd"/>
      <w:r w:rsidR="00AD7E4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AD7E48">
        <w:rPr>
          <w:rFonts w:ascii="Times New Roman" w:hAnsi="Times New Roman" w:cs="Times New Roman"/>
          <w:b/>
          <w:sz w:val="16"/>
          <w:szCs w:val="16"/>
          <w:lang w:val="kk-KZ"/>
        </w:rPr>
        <w:t>И</w:t>
      </w:r>
      <w:proofErr w:type="spellStart"/>
      <w:r w:rsidR="00AD7E48" w:rsidRPr="00AD7E48">
        <w:rPr>
          <w:rFonts w:ascii="Times New Roman" w:hAnsi="Times New Roman" w:cs="Times New Roman"/>
          <w:b/>
          <w:sz w:val="16"/>
          <w:szCs w:val="16"/>
        </w:rPr>
        <w:t>нвестициялық</w:t>
      </w:r>
      <w:proofErr w:type="spellEnd"/>
      <w:r w:rsidR="00AD7E48" w:rsidRPr="00AD7E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D7E48" w:rsidRPr="00AD7E48">
        <w:rPr>
          <w:rFonts w:ascii="Times New Roman" w:hAnsi="Times New Roman" w:cs="Times New Roman"/>
          <w:b/>
          <w:sz w:val="16"/>
          <w:szCs w:val="16"/>
        </w:rPr>
        <w:t>бағдарламасының</w:t>
      </w:r>
      <w:proofErr w:type="spellEnd"/>
      <w:r w:rsidR="00AD7E48" w:rsidRPr="00AD7E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D7E48" w:rsidRPr="00AD7E48">
        <w:rPr>
          <w:rFonts w:ascii="Times New Roman" w:hAnsi="Times New Roman" w:cs="Times New Roman"/>
          <w:b/>
          <w:sz w:val="16"/>
          <w:szCs w:val="16"/>
        </w:rPr>
        <w:t>уәкілетті</w:t>
      </w:r>
      <w:proofErr w:type="spellEnd"/>
      <w:r w:rsidR="00AD7E48" w:rsidRPr="00AD7E48">
        <w:rPr>
          <w:rFonts w:ascii="Times New Roman" w:hAnsi="Times New Roman" w:cs="Times New Roman"/>
          <w:b/>
          <w:sz w:val="16"/>
          <w:szCs w:val="16"/>
        </w:rPr>
        <w:t xml:space="preserve"> орган </w:t>
      </w:r>
      <w:proofErr w:type="spellStart"/>
      <w:r w:rsidR="00AD7E48" w:rsidRPr="00AD7E48">
        <w:rPr>
          <w:rFonts w:ascii="Times New Roman" w:hAnsi="Times New Roman" w:cs="Times New Roman"/>
          <w:b/>
          <w:sz w:val="16"/>
          <w:szCs w:val="16"/>
        </w:rPr>
        <w:t>ведомствосымен</w:t>
      </w:r>
      <w:proofErr w:type="spellEnd"/>
      <w:r w:rsidR="00AD7E48" w:rsidRPr="00AD7E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D7E48" w:rsidRPr="00AD7E48">
        <w:rPr>
          <w:rFonts w:ascii="Times New Roman" w:hAnsi="Times New Roman" w:cs="Times New Roman"/>
          <w:b/>
          <w:sz w:val="16"/>
          <w:szCs w:val="16"/>
        </w:rPr>
        <w:t>бекітілген</w:t>
      </w:r>
      <w:proofErr w:type="spellEnd"/>
      <w:r w:rsidR="00AD7E48" w:rsidRPr="00AD7E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D7E48" w:rsidRPr="00AD7E48">
        <w:rPr>
          <w:rFonts w:ascii="Times New Roman" w:hAnsi="Times New Roman" w:cs="Times New Roman"/>
          <w:b/>
          <w:sz w:val="16"/>
          <w:szCs w:val="16"/>
        </w:rPr>
        <w:t>қызметінің</w:t>
      </w:r>
      <w:proofErr w:type="spellEnd"/>
      <w:r w:rsidR="00AD7E48" w:rsidRPr="00AD7E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AD7E48" w:rsidRPr="00AD7E48">
        <w:rPr>
          <w:rFonts w:ascii="Times New Roman" w:hAnsi="Times New Roman" w:cs="Times New Roman"/>
          <w:b/>
          <w:sz w:val="16"/>
          <w:szCs w:val="16"/>
        </w:rPr>
        <w:t>перспективалары</w:t>
      </w:r>
      <w:proofErr w:type="spellEnd"/>
      <w:r w:rsidR="00AD7E48" w:rsidRPr="00AD7E48">
        <w:rPr>
          <w:rFonts w:ascii="Times New Roman" w:hAnsi="Times New Roman" w:cs="Times New Roman"/>
          <w:b/>
          <w:sz w:val="16"/>
          <w:szCs w:val="16"/>
        </w:rPr>
        <w:t xml:space="preserve"> (даму </w:t>
      </w:r>
      <w:proofErr w:type="spellStart"/>
      <w:r w:rsidR="00AD7E48" w:rsidRPr="00AD7E48">
        <w:rPr>
          <w:rFonts w:ascii="Times New Roman" w:hAnsi="Times New Roman" w:cs="Times New Roman"/>
          <w:b/>
          <w:sz w:val="16"/>
          <w:szCs w:val="16"/>
        </w:rPr>
        <w:t>жоспарлары</w:t>
      </w:r>
      <w:proofErr w:type="spellEnd"/>
      <w:r w:rsidR="00AD7E48" w:rsidRPr="00AD7E48">
        <w:rPr>
          <w:rFonts w:ascii="Times New Roman" w:hAnsi="Times New Roman" w:cs="Times New Roman"/>
          <w:b/>
          <w:sz w:val="16"/>
          <w:szCs w:val="16"/>
        </w:rPr>
        <w:t xml:space="preserve">) </w:t>
      </w:r>
      <w:proofErr w:type="spellStart"/>
      <w:r w:rsidR="00AD7E48" w:rsidRPr="00AD7E48">
        <w:rPr>
          <w:rFonts w:ascii="Times New Roman" w:hAnsi="Times New Roman" w:cs="Times New Roman"/>
          <w:b/>
          <w:sz w:val="16"/>
          <w:szCs w:val="16"/>
        </w:rPr>
        <w:t>туралы</w:t>
      </w:r>
      <w:proofErr w:type="spellEnd"/>
    </w:p>
    <w:p w:rsidR="00F748FD" w:rsidRPr="00B2004A" w:rsidRDefault="00AD7E48" w:rsidP="00AD7E48">
      <w:pPr>
        <w:pStyle w:val="a3"/>
        <w:spacing w:after="0"/>
        <w:ind w:left="709"/>
        <w:rPr>
          <w:rFonts w:ascii="Times New Roman" w:hAnsi="Times New Roman" w:cs="Times New Roman"/>
          <w:b/>
          <w:sz w:val="16"/>
          <w:szCs w:val="16"/>
        </w:rPr>
      </w:pPr>
      <w:r w:rsidRPr="00AD7E48">
        <w:rPr>
          <w:rFonts w:ascii="Times New Roman" w:hAnsi="Times New Roman" w:cs="Times New Roman"/>
          <w:b/>
          <w:sz w:val="16"/>
          <w:szCs w:val="16"/>
        </w:rPr>
        <w:tab/>
        <w:t xml:space="preserve"> </w:t>
      </w:r>
      <w:proofErr w:type="spellStart"/>
      <w:r w:rsidRPr="00AD7E48">
        <w:rPr>
          <w:rFonts w:ascii="Times New Roman" w:hAnsi="Times New Roman" w:cs="Times New Roman"/>
          <w:b/>
          <w:sz w:val="16"/>
          <w:szCs w:val="16"/>
        </w:rPr>
        <w:t>Уәкілетті</w:t>
      </w:r>
      <w:proofErr w:type="spellEnd"/>
      <w:r w:rsidRPr="00AD7E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7E48">
        <w:rPr>
          <w:rFonts w:ascii="Times New Roman" w:hAnsi="Times New Roman" w:cs="Times New Roman"/>
          <w:b/>
          <w:sz w:val="16"/>
          <w:szCs w:val="16"/>
        </w:rPr>
        <w:t>органның</w:t>
      </w:r>
      <w:proofErr w:type="spellEnd"/>
      <w:r w:rsidRPr="00AD7E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7E48">
        <w:rPr>
          <w:rFonts w:ascii="Times New Roman" w:hAnsi="Times New Roman" w:cs="Times New Roman"/>
          <w:b/>
          <w:sz w:val="16"/>
          <w:szCs w:val="16"/>
        </w:rPr>
        <w:t>ведомствосы</w:t>
      </w:r>
      <w:proofErr w:type="spellEnd"/>
      <w:r w:rsidRPr="00AD7E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7E48">
        <w:rPr>
          <w:rFonts w:ascii="Times New Roman" w:hAnsi="Times New Roman" w:cs="Times New Roman"/>
          <w:b/>
          <w:sz w:val="16"/>
          <w:szCs w:val="16"/>
        </w:rPr>
        <w:t>бекіткен</w:t>
      </w:r>
      <w:proofErr w:type="spellEnd"/>
      <w:r w:rsidRPr="00AD7E48">
        <w:rPr>
          <w:rFonts w:ascii="Times New Roman" w:hAnsi="Times New Roman" w:cs="Times New Roman"/>
          <w:b/>
          <w:sz w:val="16"/>
          <w:szCs w:val="16"/>
        </w:rPr>
        <w:t xml:space="preserve"> "АЖК" АҚ 2019-2020 </w:t>
      </w:r>
      <w:proofErr w:type="spellStart"/>
      <w:r w:rsidRPr="00AD7E48">
        <w:rPr>
          <w:rFonts w:ascii="Times New Roman" w:hAnsi="Times New Roman" w:cs="Times New Roman"/>
          <w:b/>
          <w:sz w:val="16"/>
          <w:szCs w:val="16"/>
        </w:rPr>
        <w:t>жылдарға</w:t>
      </w:r>
      <w:proofErr w:type="spellEnd"/>
      <w:r w:rsidRPr="00AD7E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7E48">
        <w:rPr>
          <w:rFonts w:ascii="Times New Roman" w:hAnsi="Times New Roman" w:cs="Times New Roman"/>
          <w:b/>
          <w:sz w:val="16"/>
          <w:szCs w:val="16"/>
        </w:rPr>
        <w:t>арналған</w:t>
      </w:r>
      <w:proofErr w:type="spellEnd"/>
      <w:r w:rsidRPr="00AD7E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7E48">
        <w:rPr>
          <w:rFonts w:ascii="Times New Roman" w:hAnsi="Times New Roman" w:cs="Times New Roman"/>
          <w:b/>
          <w:sz w:val="16"/>
          <w:szCs w:val="16"/>
        </w:rPr>
        <w:t>инвестициялық</w:t>
      </w:r>
      <w:proofErr w:type="spellEnd"/>
      <w:r w:rsidRPr="00AD7E48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Pr="00AD7E48">
        <w:rPr>
          <w:rFonts w:ascii="Times New Roman" w:hAnsi="Times New Roman" w:cs="Times New Roman"/>
          <w:b/>
          <w:sz w:val="16"/>
          <w:szCs w:val="16"/>
        </w:rPr>
        <w:t>бағдарламасы</w:t>
      </w:r>
      <w:proofErr w:type="spellEnd"/>
    </w:p>
    <w:p w:rsidR="00D86983" w:rsidRPr="00DD02DF" w:rsidRDefault="00D86983" w:rsidP="00DD02DF">
      <w:pPr>
        <w:spacing w:after="0"/>
        <w:ind w:firstLine="708"/>
        <w:rPr>
          <w:rFonts w:ascii="Times New Roman" w:eastAsia="Times New Roman" w:hAnsi="Times New Roman"/>
          <w:color w:val="000000"/>
          <w:sz w:val="16"/>
          <w:szCs w:val="16"/>
          <w:lang w:val="kk-KZ"/>
        </w:rPr>
      </w:pPr>
      <w:r w:rsidRPr="00DD02DF">
        <w:rPr>
          <w:rFonts w:ascii="Times New Roman" w:eastAsia="Times New Roman" w:hAnsi="Times New Roman"/>
          <w:color w:val="000000"/>
          <w:sz w:val="16"/>
          <w:szCs w:val="16"/>
        </w:rPr>
        <w:t xml:space="preserve">«АЖК» </w:t>
      </w:r>
      <w:r w:rsidR="00DD02DF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АҚ-ның</w:t>
      </w:r>
      <w:r w:rsidRPr="00DD02DF">
        <w:rPr>
          <w:rFonts w:ascii="Times New Roman" w:eastAsia="Times New Roman" w:hAnsi="Times New Roman"/>
          <w:color w:val="000000"/>
          <w:sz w:val="16"/>
          <w:szCs w:val="16"/>
        </w:rPr>
        <w:t xml:space="preserve"> 2016-2020 </w:t>
      </w:r>
      <w:r w:rsidR="00DD02DF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жылдарға арналған Инвестициялық бағдарламасы ҚР ЭМ 12.10.2015ж. №595, Алматы облысы бойынша ТМРжБҚКД-ның 02.09.2015ж. №252-НҚ. Алматы қаласы бойынша ТМРжБҚКД-ның 18.08.2015ж. №170-НҚ бірлескен бұйрығымен бекітілген</w:t>
      </w:r>
      <w:r w:rsidRPr="00DD02DF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.</w:t>
      </w:r>
    </w:p>
    <w:p w:rsidR="00DD02DF" w:rsidRDefault="00DD02DF" w:rsidP="00DD02D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ҚР Президенті Н.</w:t>
      </w:r>
      <w:r w:rsidRPr="00DD02DF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Назарбаевтың 2018 жылғы 5 қазандағы Қазақстан халқына Жолдауына және ҚР Үкіметінің Тұрғын үй-коммуналдық шаруашылық қызметтеріне тарифтерді тежеу және төмендету бойынша жүргізіп отырған жұмысына сәйкес бекітілген инвестициялық бағдарлама шеңберінде инвестициялық бағдарламаның іс-шаралары бойынша шығындар азаю жағына түзетілді.</w:t>
      </w:r>
    </w:p>
    <w:p w:rsidR="00DD02DF" w:rsidRPr="00DD02DF" w:rsidRDefault="00DD02DF" w:rsidP="00DD02D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val="kk-KZ"/>
        </w:rPr>
      </w:pPr>
      <w:r w:rsidRPr="00DD02DF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Инвестициялық бағдарламаның шығындарын меншікті қаражат есебінен 1 160 млн.теңге сомасына төмендету нәтижелері бойынша 2019 жылға арналған күрделі шығындардың жалпы көлемі 10 857 млн. теңгені құрайды.</w:t>
      </w:r>
    </w:p>
    <w:p w:rsidR="00DD02DF" w:rsidRPr="00DD02DF" w:rsidRDefault="00DD02DF" w:rsidP="00DD02D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val="kk-KZ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Сондай-ақ, "Т</w:t>
      </w:r>
      <w:r w:rsidRPr="00DD02DF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абиғи монополиялар туралы" ҚР Заңының 21-бабының 8-тармағына сәйкес, ҚР ҰЭМ 30.12.2014 жылғы №194 бұйрығымен бекітілген "</w:t>
      </w:r>
      <w:r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Т</w:t>
      </w:r>
      <w:r w:rsidRPr="00DD02DF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абиғи монополия субъектісінің инвестициялық бағдарламасын (жобасын) бекіту және оны түзету ережесінің" 26-тармағына сәйкес іс-шаралардың орындалу мерзімін ауыстыруға байланысты "АЖК" АҚ-ның 2018-2019 жылдарға арналған инвестициялық бағдарламасы түзетілді.</w:t>
      </w:r>
    </w:p>
    <w:p w:rsidR="00DD02DF" w:rsidRPr="00DD02DF" w:rsidRDefault="00DD02DF" w:rsidP="00DD02DF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16"/>
          <w:szCs w:val="16"/>
          <w:lang w:val="kk-KZ"/>
        </w:rPr>
      </w:pPr>
      <w:r w:rsidRPr="00DD02DF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"АЖК" АҚ-ның 2019 жылға арналған инвестициялық бағдарламасы 11 833 млн. теңге сомасына түзетілді. </w:t>
      </w:r>
    </w:p>
    <w:p w:rsidR="00DD02DF" w:rsidRDefault="00DD02DF" w:rsidP="00DD02DF">
      <w:pPr>
        <w:pStyle w:val="a3"/>
        <w:spacing w:after="0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  <w:lang w:val="kk-KZ"/>
        </w:rPr>
      </w:pPr>
      <w:r w:rsidRPr="00C8293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2019 жылға арналған түзетулерді ескере отырып, 2019-2020 жылдарға арналған инвестициялық бағдарлама 23 548 млн. теңгені құрады:</w:t>
      </w:r>
    </w:p>
    <w:p w:rsidR="0060061C" w:rsidRPr="00B2004A" w:rsidRDefault="0060061C" w:rsidP="0060061C">
      <w:pPr>
        <w:pStyle w:val="a3"/>
        <w:spacing w:after="0" w:line="240" w:lineRule="auto"/>
        <w:ind w:left="0" w:firstLine="720"/>
        <w:jc w:val="both"/>
        <w:rPr>
          <w:rFonts w:ascii="Times New Roman" w:eastAsia="Times New Roman" w:hAnsi="Times New Roman"/>
          <w:color w:val="000000"/>
          <w:sz w:val="16"/>
          <w:szCs w:val="16"/>
        </w:rPr>
      </w:pPr>
      <w:r w:rsidRPr="00C8293C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млн.те</w:t>
      </w:r>
      <w:proofErr w:type="spellEnd"/>
      <w:r w:rsidR="00DD02DF">
        <w:rPr>
          <w:rFonts w:ascii="Times New Roman" w:eastAsia="Times New Roman" w:hAnsi="Times New Roman"/>
          <w:color w:val="000000"/>
          <w:sz w:val="16"/>
          <w:szCs w:val="16"/>
          <w:lang w:val="kk-KZ"/>
        </w:rPr>
        <w:t>ң</w:t>
      </w:r>
      <w:proofErr w:type="spellStart"/>
      <w:r>
        <w:rPr>
          <w:rFonts w:ascii="Times New Roman" w:eastAsia="Times New Roman" w:hAnsi="Times New Roman"/>
          <w:color w:val="000000"/>
          <w:sz w:val="16"/>
          <w:szCs w:val="16"/>
        </w:rPr>
        <w:t>ге</w:t>
      </w:r>
      <w:proofErr w:type="spellEnd"/>
    </w:p>
    <w:tbl>
      <w:tblPr>
        <w:tblW w:w="1078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94"/>
        <w:gridCol w:w="1418"/>
        <w:gridCol w:w="1559"/>
        <w:gridCol w:w="1417"/>
      </w:tblGrid>
      <w:tr w:rsidR="00D86983" w:rsidRPr="00B2004A" w:rsidTr="00A2336A">
        <w:trPr>
          <w:trHeight w:val="260"/>
        </w:trPr>
        <w:tc>
          <w:tcPr>
            <w:tcW w:w="6394" w:type="dxa"/>
            <w:tcBorders>
              <w:top w:val="single" w:sz="8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DD02DF" w:rsidRDefault="00DD02DF" w:rsidP="006006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kk-KZ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Атауы</w:t>
            </w:r>
          </w:p>
        </w:tc>
        <w:tc>
          <w:tcPr>
            <w:tcW w:w="1418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DD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2019 </w:t>
            </w:r>
            <w:r w:rsidR="00DD02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жыл</w:t>
            </w:r>
          </w:p>
        </w:tc>
        <w:tc>
          <w:tcPr>
            <w:tcW w:w="1559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DD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 xml:space="preserve">2020 </w:t>
            </w:r>
            <w:r w:rsidR="00DD02D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жыл</w:t>
            </w:r>
          </w:p>
        </w:tc>
        <w:tc>
          <w:tcPr>
            <w:tcW w:w="1417" w:type="dxa"/>
            <w:tcBorders>
              <w:top w:val="single" w:sz="8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D02DF" w:rsidP="00DD02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Барлығы</w:t>
            </w:r>
          </w:p>
        </w:tc>
      </w:tr>
      <w:tr w:rsidR="00D86983" w:rsidRPr="00B2004A" w:rsidTr="00A2336A">
        <w:trPr>
          <w:trHeight w:val="486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F95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00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F956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Бөлуші электр тораптарын қайта құрылымдау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4 776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4 200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8 976</w:t>
            </w:r>
          </w:p>
        </w:tc>
      </w:tr>
      <w:tr w:rsidR="00D86983" w:rsidRPr="00B2004A" w:rsidTr="00A2336A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F9565B" w:rsidP="00F95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ЭЖЖ салу, қайта құрылымдау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1 112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338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1 450</w:t>
            </w:r>
          </w:p>
        </w:tc>
      </w:tr>
      <w:tr w:rsidR="00D86983" w:rsidRPr="00B2004A" w:rsidTr="00A2336A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F9565B" w:rsidP="00F95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ҚС  салу, қайта құрылымдау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2C2B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3 </w:t>
            </w:r>
            <w:r w:rsidR="002C2BD5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</w:t>
            </w: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3 780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2C2BD5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7 081</w:t>
            </w:r>
          </w:p>
        </w:tc>
      </w:tr>
      <w:tr w:rsidR="00D86983" w:rsidRPr="00B2004A" w:rsidTr="00A2336A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F95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 w:rsidRPr="00B2004A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 xml:space="preserve">SCADA, </w:t>
            </w:r>
            <w:r w:rsidR="00F9565B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ЭКЕАЖ енгізу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2 309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2 858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5 167</w:t>
            </w:r>
          </w:p>
        </w:tc>
      </w:tr>
      <w:tr w:rsidR="00D86983" w:rsidRPr="00B2004A" w:rsidTr="00A2336A">
        <w:trPr>
          <w:trHeight w:val="363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F9565B" w:rsidP="00F95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Өндірістік қарекет процесіне тікелей қатысатын өндірістік активтер мен басқа да негізгі құралдарды жөндеуге арналған басқа да шығындар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195</w:t>
            </w:r>
          </w:p>
        </w:tc>
      </w:tr>
      <w:tr w:rsidR="00D86983" w:rsidRPr="00B2004A" w:rsidTr="00A2336A">
        <w:trPr>
          <w:trHeight w:val="260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F9565B" w:rsidP="00F956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kk-KZ" w:eastAsia="ru-RU"/>
              </w:rPr>
              <w:t>Негізгі құралдарды алу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335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4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678</w:t>
            </w:r>
          </w:p>
        </w:tc>
      </w:tr>
      <w:tr w:rsidR="00D86983" w:rsidRPr="00B2004A" w:rsidTr="00A2336A">
        <w:trPr>
          <w:trHeight w:val="278"/>
        </w:trPr>
        <w:tc>
          <w:tcPr>
            <w:tcW w:w="6394" w:type="dxa"/>
            <w:tcBorders>
              <w:top w:val="single" w:sz="4" w:space="0" w:color="003300"/>
              <w:left w:val="single" w:sz="8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F9565B" w:rsidP="00F9565B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/>
              </w:rPr>
              <w:t>Барлығы</w:t>
            </w:r>
          </w:p>
        </w:tc>
        <w:tc>
          <w:tcPr>
            <w:tcW w:w="1418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11 833</w:t>
            </w:r>
          </w:p>
        </w:tc>
        <w:tc>
          <w:tcPr>
            <w:tcW w:w="1559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4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11 715</w:t>
            </w:r>
          </w:p>
        </w:tc>
        <w:tc>
          <w:tcPr>
            <w:tcW w:w="1417" w:type="dxa"/>
            <w:tcBorders>
              <w:top w:val="single" w:sz="4" w:space="0" w:color="003300"/>
              <w:left w:val="single" w:sz="4" w:space="0" w:color="003300"/>
              <w:bottom w:val="single" w:sz="8" w:space="0" w:color="003300"/>
              <w:right w:val="single" w:sz="8" w:space="0" w:color="0033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86983" w:rsidRPr="00B2004A" w:rsidRDefault="00D86983" w:rsidP="00A233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B2004A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23 548</w:t>
            </w:r>
          </w:p>
        </w:tc>
      </w:tr>
    </w:tbl>
    <w:p w:rsidR="00D86983" w:rsidRPr="00B2004A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</w:p>
    <w:p w:rsidR="00D86983" w:rsidRPr="00B2004A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  <w:r w:rsidRPr="00B2004A">
        <w:rPr>
          <w:color w:val="000000"/>
          <w:sz w:val="16"/>
          <w:szCs w:val="16"/>
          <w:lang w:eastAsia="en-US"/>
        </w:rPr>
        <w:t xml:space="preserve">2019-2020 </w:t>
      </w:r>
      <w:r w:rsidR="00F9565B">
        <w:rPr>
          <w:color w:val="000000"/>
          <w:sz w:val="16"/>
          <w:szCs w:val="16"/>
          <w:lang w:val="kk-KZ" w:eastAsia="en-US"/>
        </w:rPr>
        <w:t>жылдарға арналған Инвестициялық бағдарламаны іске асыру шеңберінде мыналар қарастырылған</w:t>
      </w:r>
      <w:r w:rsidRPr="00B2004A">
        <w:rPr>
          <w:color w:val="000000"/>
          <w:sz w:val="16"/>
          <w:szCs w:val="16"/>
          <w:lang w:eastAsia="en-US"/>
        </w:rPr>
        <w:t>:</w:t>
      </w:r>
      <w:r w:rsidR="00853C76">
        <w:rPr>
          <w:color w:val="000000"/>
          <w:sz w:val="16"/>
          <w:szCs w:val="16"/>
          <w:lang w:eastAsia="en-US"/>
        </w:rPr>
        <w:t xml:space="preserve">      </w:t>
      </w:r>
    </w:p>
    <w:p w:rsidR="00D86983" w:rsidRPr="00B2004A" w:rsidRDefault="00F9565B" w:rsidP="00F938DC">
      <w:pPr>
        <w:numPr>
          <w:ilvl w:val="0"/>
          <w:numId w:val="8"/>
        </w:numPr>
        <w:tabs>
          <w:tab w:val="left" w:pos="993"/>
        </w:tabs>
        <w:spacing w:after="0"/>
        <w:ind w:left="1434" w:hanging="35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>ӨҰОС-ға ауыстырумен 0,4кВ-тық тораптарды қайта құрылымдау бойынша жұмыстарды жүргізуді жалғастыру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;</w:t>
      </w:r>
    </w:p>
    <w:p w:rsidR="00D86983" w:rsidRPr="00B2004A" w:rsidRDefault="00F9565B" w:rsidP="00F938DC">
      <w:pPr>
        <w:numPr>
          <w:ilvl w:val="0"/>
          <w:numId w:val="8"/>
        </w:numPr>
        <w:tabs>
          <w:tab w:val="left" w:pos="993"/>
        </w:tabs>
        <w:spacing w:after="0"/>
        <w:ind w:left="1434" w:hanging="35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>ЭКЕАЖ-ды енгізу бойынша жұмыстарды жалғастыру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;</w:t>
      </w:r>
    </w:p>
    <w:p w:rsidR="00F938DC" w:rsidRPr="00B2004A" w:rsidRDefault="00F9565B" w:rsidP="00F938DC">
      <w:pPr>
        <w:numPr>
          <w:ilvl w:val="0"/>
          <w:numId w:val="8"/>
        </w:numPr>
        <w:tabs>
          <w:tab w:val="left" w:pos="993"/>
        </w:tabs>
        <w:ind w:left="1434" w:hanging="357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«Бесағаш» 220кВ-ҚС-да №120АИ 110кВ-ӘЖ кіріс-шығысымен және композиттік сымға ауыстырумен </w:t>
      </w:r>
      <w:r w:rsidR="00F938DC"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№102А, 105А, 109А, 120АИ </w:t>
      </w: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>110кВ-ӘЖ-ні қайта құрылымдау бойынша жұмыстарды жалғастыру</w:t>
      </w:r>
      <w:r w:rsidR="00F938DC" w:rsidRPr="00B2004A">
        <w:rPr>
          <w:rFonts w:ascii="Times New Roman" w:eastAsia="Calibri" w:hAnsi="Times New Roman" w:cs="Times New Roman"/>
          <w:bCs/>
          <w:sz w:val="16"/>
          <w:szCs w:val="16"/>
        </w:rPr>
        <w:t>;</w:t>
      </w:r>
    </w:p>
    <w:p w:rsidR="00D86983" w:rsidRPr="00B2004A" w:rsidRDefault="00F9565B" w:rsidP="00F938DC">
      <w:pPr>
        <w:numPr>
          <w:ilvl w:val="0"/>
          <w:numId w:val="8"/>
        </w:numPr>
        <w:tabs>
          <w:tab w:val="left" w:pos="993"/>
        </w:tabs>
        <w:ind w:left="1434" w:hanging="357"/>
        <w:contextualSpacing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Қолданыстағы 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22А, 50А, 54А, 100А </w:t>
      </w: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ҚС 6кВ-тық тораптарды «Алмалы» 150А-ҚС 10кВ-ЭЖЖ-дан және жаңадан салынған 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 «</w:t>
      </w:r>
      <w:proofErr w:type="spellStart"/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Медеу</w:t>
      </w:r>
      <w:proofErr w:type="spellEnd"/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» </w:t>
      </w: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>және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 «</w:t>
      </w:r>
      <w:proofErr w:type="spellStart"/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Шымб</w:t>
      </w:r>
      <w:proofErr w:type="spellEnd"/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>ұ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ла</w:t>
      </w: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>қ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»</w:t>
      </w: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 ҚС-дан 10кВ-тық кернеуге ауыстыру бойынша жұмыстарды жалғастыру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;</w:t>
      </w:r>
      <w:r w:rsidR="00200653">
        <w:rPr>
          <w:rFonts w:ascii="Times New Roman" w:eastAsia="Calibri" w:hAnsi="Times New Roman" w:cs="Times New Roman"/>
          <w:bCs/>
          <w:sz w:val="16"/>
          <w:szCs w:val="16"/>
        </w:rPr>
        <w:t xml:space="preserve">      </w:t>
      </w:r>
    </w:p>
    <w:p w:rsidR="00F938DC" w:rsidRPr="00B2004A" w:rsidRDefault="00F9565B" w:rsidP="00F938DC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Қолданыстағы №4 ҚС-дан жүктеме жартысын жаңадан салынған «Алатау» </w:t>
      </w:r>
      <w:r w:rsidR="00F938DC" w:rsidRPr="00B2004A">
        <w:rPr>
          <w:rFonts w:ascii="Times New Roman" w:eastAsia="Calibri" w:hAnsi="Times New Roman" w:cs="Times New Roman"/>
          <w:bCs/>
          <w:sz w:val="16"/>
          <w:szCs w:val="16"/>
        </w:rPr>
        <w:t>110/10-10кВ</w:t>
      </w: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>-ҚС-ға көшіру бойынша жұмыстарды жалғаст</w:t>
      </w:r>
      <w:r w:rsidR="007613AB">
        <w:rPr>
          <w:rFonts w:ascii="Times New Roman" w:eastAsia="Calibri" w:hAnsi="Times New Roman" w:cs="Times New Roman"/>
          <w:bCs/>
          <w:sz w:val="16"/>
          <w:szCs w:val="16"/>
          <w:lang w:val="kk-KZ"/>
        </w:rPr>
        <w:t>ы</w:t>
      </w: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>ру</w:t>
      </w:r>
      <w:r w:rsidR="00F938DC" w:rsidRPr="00B2004A">
        <w:rPr>
          <w:rFonts w:ascii="Times New Roman" w:eastAsia="Calibri" w:hAnsi="Times New Roman" w:cs="Times New Roman"/>
          <w:bCs/>
          <w:sz w:val="16"/>
          <w:szCs w:val="16"/>
        </w:rPr>
        <w:t>;</w:t>
      </w:r>
    </w:p>
    <w:p w:rsidR="00D86983" w:rsidRPr="00B2004A" w:rsidRDefault="007613AB" w:rsidP="00D86983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Қолданыстағы 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5А</w:t>
      </w: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>-ҚС-дан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, 17А</w:t>
      </w: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-ҚС-дан және 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132А</w:t>
      </w: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-ҚС-дан жүктеме жартысын 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 «</w:t>
      </w:r>
      <w:proofErr w:type="spellStart"/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Отрар</w:t>
      </w:r>
      <w:proofErr w:type="spellEnd"/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»</w:t>
      </w: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 110/10кВ-ҚС-ға көшіру бойынша жұмыстарды жалғастыру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.</w:t>
      </w:r>
    </w:p>
    <w:p w:rsidR="0045674E" w:rsidRPr="00B2004A" w:rsidRDefault="0045674E" w:rsidP="0045674E">
      <w:pPr>
        <w:numPr>
          <w:ilvl w:val="0"/>
          <w:numId w:val="8"/>
        </w:numPr>
        <w:tabs>
          <w:tab w:val="left" w:pos="993"/>
        </w:tabs>
        <w:spacing w:after="0"/>
        <w:ind w:left="1434" w:hanging="357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3А </w:t>
      </w:r>
      <w:r w:rsidR="007613AB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ҚС </w:t>
      </w:r>
      <w:r w:rsidRPr="00B2004A">
        <w:rPr>
          <w:rFonts w:ascii="Times New Roman" w:eastAsia="Calibri" w:hAnsi="Times New Roman" w:cs="Times New Roman"/>
          <w:bCs/>
          <w:sz w:val="16"/>
          <w:szCs w:val="16"/>
        </w:rPr>
        <w:t>(168</w:t>
      </w:r>
      <w:proofErr w:type="gramStart"/>
      <w:r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А)  </w:t>
      </w:r>
      <w:r w:rsidR="007613AB">
        <w:rPr>
          <w:rFonts w:ascii="Times New Roman" w:eastAsia="Calibri" w:hAnsi="Times New Roman" w:cs="Times New Roman"/>
          <w:bCs/>
          <w:sz w:val="16"/>
          <w:szCs w:val="16"/>
          <w:lang w:val="kk-KZ"/>
        </w:rPr>
        <w:t>және</w:t>
      </w:r>
      <w:proofErr w:type="gramEnd"/>
      <w:r w:rsidR="007613AB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 </w:t>
      </w:r>
      <w:r w:rsidRPr="00B2004A">
        <w:rPr>
          <w:rFonts w:ascii="Times New Roman" w:eastAsia="Calibri" w:hAnsi="Times New Roman" w:cs="Times New Roman"/>
          <w:bCs/>
          <w:sz w:val="16"/>
          <w:szCs w:val="16"/>
        </w:rPr>
        <w:t>6А</w:t>
      </w:r>
      <w:r w:rsidR="007613AB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 ҚС аумағында БП мен ТҚС-ны қайта құрылымдау бойынша жұмыстарды жүргізуді бастау</w:t>
      </w:r>
      <w:r w:rsidRPr="00B2004A">
        <w:rPr>
          <w:rFonts w:ascii="Times New Roman" w:eastAsia="Calibri" w:hAnsi="Times New Roman" w:cs="Times New Roman"/>
          <w:bCs/>
          <w:sz w:val="16"/>
          <w:szCs w:val="16"/>
        </w:rPr>
        <w:t>.</w:t>
      </w:r>
    </w:p>
    <w:p w:rsidR="0045674E" w:rsidRPr="00B2004A" w:rsidRDefault="007613AB" w:rsidP="0045674E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>1,2,4,6-ЭТА бойынша сенімділікті арттыру үшін артық жүктелген және нормативтік мерзімін өтеген КЖ-ні ауыстырумен, 10-6-0,4кВ-тық электр тораптарын қайта құрылымдау және жаңадан салу бойынша жұмыстарды жүргізуді бастау</w:t>
      </w:r>
      <w:r w:rsidR="0045674E" w:rsidRPr="00B2004A">
        <w:rPr>
          <w:rFonts w:ascii="Times New Roman" w:eastAsia="Calibri" w:hAnsi="Times New Roman" w:cs="Times New Roman"/>
          <w:bCs/>
          <w:sz w:val="16"/>
          <w:szCs w:val="16"/>
        </w:rPr>
        <w:t>.</w:t>
      </w:r>
    </w:p>
    <w:p w:rsidR="00D86983" w:rsidRPr="00B2004A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</w:p>
    <w:p w:rsidR="00D86983" w:rsidRPr="00B2004A" w:rsidRDefault="00D86983" w:rsidP="00D86983">
      <w:pPr>
        <w:pStyle w:val="a5"/>
        <w:spacing w:before="0" w:beforeAutospacing="0" w:after="0" w:afterAutospacing="0" w:line="276" w:lineRule="auto"/>
        <w:jc w:val="both"/>
        <w:rPr>
          <w:color w:val="000000"/>
          <w:sz w:val="16"/>
          <w:szCs w:val="16"/>
          <w:lang w:eastAsia="en-US"/>
        </w:rPr>
      </w:pPr>
      <w:r w:rsidRPr="00B2004A">
        <w:rPr>
          <w:color w:val="000000"/>
          <w:sz w:val="16"/>
          <w:szCs w:val="16"/>
          <w:lang w:eastAsia="en-US"/>
        </w:rPr>
        <w:t xml:space="preserve"> </w:t>
      </w:r>
      <w:r w:rsidR="007613AB">
        <w:rPr>
          <w:color w:val="000000"/>
          <w:sz w:val="16"/>
          <w:szCs w:val="16"/>
          <w:lang w:val="kk-KZ" w:eastAsia="en-US"/>
        </w:rPr>
        <w:t xml:space="preserve">Сонымен қатар </w:t>
      </w:r>
      <w:r w:rsidRPr="00B2004A">
        <w:rPr>
          <w:color w:val="000000"/>
          <w:sz w:val="16"/>
          <w:szCs w:val="16"/>
          <w:lang w:eastAsia="en-US"/>
        </w:rPr>
        <w:t xml:space="preserve">2019 </w:t>
      </w:r>
      <w:r w:rsidR="007613AB">
        <w:rPr>
          <w:color w:val="000000"/>
          <w:sz w:val="16"/>
          <w:szCs w:val="16"/>
          <w:lang w:val="kk-KZ" w:eastAsia="en-US"/>
        </w:rPr>
        <w:t>жылы мыналар жоспарлануда</w:t>
      </w:r>
      <w:r w:rsidR="00F938DC" w:rsidRPr="00B2004A">
        <w:rPr>
          <w:color w:val="000000"/>
          <w:sz w:val="16"/>
          <w:szCs w:val="16"/>
          <w:lang w:eastAsia="en-US"/>
        </w:rPr>
        <w:t>:</w:t>
      </w:r>
    </w:p>
    <w:p w:rsidR="00F938DC" w:rsidRPr="00B2004A" w:rsidRDefault="007613AB" w:rsidP="0045674E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>Келешекте 131А ҚС-ны бөлшектеумен 110кВ-тық тораптар бойынша «Горный Гигант» №131А 220/110/10кВ-ҚС жүктемесін «Ерменсай» №160А 220/110/10кВ-ҚС-ға көшіру бойынша жұмыстарды жүргізуді аяқтау;</w:t>
      </w:r>
      <w:r w:rsidR="00F938DC"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</w:p>
    <w:p w:rsidR="00D86983" w:rsidRPr="00B2004A" w:rsidRDefault="00D86983" w:rsidP="0045674E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№19А </w:t>
      </w:r>
      <w:r w:rsidR="007613AB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ҚС жүктемесін жаңадан </w:t>
      </w:r>
      <w:proofErr w:type="gramStart"/>
      <w:r w:rsidR="007613AB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салынған </w:t>
      </w:r>
      <w:r w:rsidRPr="00B2004A">
        <w:rPr>
          <w:rFonts w:ascii="Times New Roman" w:eastAsia="Calibri" w:hAnsi="Times New Roman" w:cs="Times New Roman"/>
          <w:bCs/>
          <w:sz w:val="16"/>
          <w:szCs w:val="16"/>
        </w:rPr>
        <w:t xml:space="preserve"> «</w:t>
      </w:r>
      <w:proofErr w:type="spellStart"/>
      <w:proofErr w:type="gramEnd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Мамыр</w:t>
      </w:r>
      <w:proofErr w:type="spellEnd"/>
      <w:r w:rsidRPr="00B2004A">
        <w:rPr>
          <w:rFonts w:ascii="Times New Roman" w:eastAsia="Calibri" w:hAnsi="Times New Roman" w:cs="Times New Roman"/>
          <w:bCs/>
          <w:sz w:val="16"/>
          <w:szCs w:val="16"/>
        </w:rPr>
        <w:t>»</w:t>
      </w:r>
      <w:r w:rsidR="007613AB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 ҚС-ға көшіру бойынша жұмыстарды аяқтау</w:t>
      </w:r>
      <w:r w:rsidRPr="00B2004A">
        <w:rPr>
          <w:rFonts w:ascii="Times New Roman" w:eastAsia="Calibri" w:hAnsi="Times New Roman" w:cs="Times New Roman"/>
          <w:bCs/>
          <w:sz w:val="16"/>
          <w:szCs w:val="16"/>
        </w:rPr>
        <w:t>;</w:t>
      </w:r>
    </w:p>
    <w:p w:rsidR="00D86983" w:rsidRPr="00B2004A" w:rsidRDefault="007613AB" w:rsidP="0045674E">
      <w:pPr>
        <w:numPr>
          <w:ilvl w:val="0"/>
          <w:numId w:val="8"/>
        </w:numPr>
        <w:tabs>
          <w:tab w:val="left" w:pos="993"/>
        </w:tabs>
        <w:spacing w:after="0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>42-БП 6кВ-тық тораптар жабдықтарын қайта құрылымдау және 42-БП 6кВ-тық тораптарды 10кВ-тық жоғары кернеуге көшіру</w:t>
      </w:r>
      <w:r w:rsidR="00D86983" w:rsidRPr="00B2004A">
        <w:rPr>
          <w:rFonts w:ascii="Times New Roman" w:eastAsia="Calibri" w:hAnsi="Times New Roman" w:cs="Times New Roman"/>
          <w:bCs/>
          <w:sz w:val="16"/>
          <w:szCs w:val="16"/>
        </w:rPr>
        <w:t>.</w:t>
      </w:r>
    </w:p>
    <w:p w:rsidR="00F748FD" w:rsidRPr="004B29FF" w:rsidRDefault="00F748FD" w:rsidP="003B08EC">
      <w:pPr>
        <w:pStyle w:val="a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B08EC" w:rsidRPr="003B08EC" w:rsidRDefault="00F748FD" w:rsidP="003B08EC">
      <w:pPr>
        <w:pStyle w:val="a3"/>
        <w:jc w:val="both"/>
        <w:rPr>
          <w:rFonts w:eastAsia="Calibri"/>
          <w:bCs/>
          <w:sz w:val="16"/>
          <w:szCs w:val="16"/>
        </w:rPr>
      </w:pPr>
      <w:r w:rsidRPr="004B29FF">
        <w:rPr>
          <w:rFonts w:ascii="Times New Roman" w:hAnsi="Times New Roman" w:cs="Times New Roman"/>
          <w:b/>
          <w:sz w:val="16"/>
          <w:szCs w:val="16"/>
        </w:rPr>
        <w:lastRenderedPageBreak/>
        <w:t>6.2</w:t>
      </w:r>
      <w:r w:rsidRPr="003B08EC">
        <w:rPr>
          <w:rFonts w:ascii="Times New Roman" w:hAnsi="Times New Roman" w:cs="Times New Roman"/>
          <w:b/>
          <w:sz w:val="16"/>
          <w:szCs w:val="16"/>
        </w:rPr>
        <w:t>.</w:t>
      </w:r>
      <w:r w:rsidR="004B29FF" w:rsidRPr="003B08EC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3B08EC">
        <w:rPr>
          <w:b/>
          <w:sz w:val="16"/>
          <w:szCs w:val="16"/>
        </w:rPr>
        <w:t xml:space="preserve"> </w:t>
      </w:r>
      <w:r w:rsidR="004C2F8D">
        <w:rPr>
          <w:rFonts w:ascii="Times New Roman" w:hAnsi="Times New Roman" w:cs="Times New Roman"/>
          <w:b/>
          <w:sz w:val="16"/>
          <w:szCs w:val="16"/>
          <w:lang w:val="kk-KZ"/>
        </w:rPr>
        <w:t>Т</w:t>
      </w:r>
      <w:proofErr w:type="spellStart"/>
      <w:r w:rsidR="004C2F8D" w:rsidRPr="004C2F8D">
        <w:rPr>
          <w:rFonts w:ascii="Times New Roman" w:hAnsi="Times New Roman" w:cs="Times New Roman"/>
          <w:b/>
          <w:sz w:val="16"/>
          <w:szCs w:val="16"/>
        </w:rPr>
        <w:t>абиғи</w:t>
      </w:r>
      <w:proofErr w:type="spellEnd"/>
      <w:r w:rsidR="004C2F8D" w:rsidRPr="004C2F8D">
        <w:rPr>
          <w:rFonts w:ascii="Times New Roman" w:hAnsi="Times New Roman" w:cs="Times New Roman"/>
          <w:b/>
          <w:sz w:val="16"/>
          <w:szCs w:val="16"/>
        </w:rPr>
        <w:t xml:space="preserve"> монополия </w:t>
      </w:r>
      <w:proofErr w:type="spellStart"/>
      <w:r w:rsidR="004C2F8D" w:rsidRPr="004C2F8D">
        <w:rPr>
          <w:rFonts w:ascii="Times New Roman" w:hAnsi="Times New Roman" w:cs="Times New Roman"/>
          <w:b/>
          <w:sz w:val="16"/>
          <w:szCs w:val="16"/>
        </w:rPr>
        <w:t>субъектісінің</w:t>
      </w:r>
      <w:proofErr w:type="spellEnd"/>
      <w:r w:rsidR="004C2F8D" w:rsidRPr="004C2F8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hAnsi="Times New Roman" w:cs="Times New Roman"/>
          <w:b/>
          <w:sz w:val="16"/>
          <w:szCs w:val="16"/>
        </w:rPr>
        <w:t>қызметін</w:t>
      </w:r>
      <w:proofErr w:type="spellEnd"/>
      <w:r w:rsidR="004C2F8D" w:rsidRPr="004C2F8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hAnsi="Times New Roman" w:cs="Times New Roman"/>
          <w:b/>
          <w:sz w:val="16"/>
          <w:szCs w:val="16"/>
        </w:rPr>
        <w:t>реттейтін</w:t>
      </w:r>
      <w:proofErr w:type="spellEnd"/>
      <w:r w:rsidR="004C2F8D" w:rsidRPr="004C2F8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hAnsi="Times New Roman" w:cs="Times New Roman"/>
          <w:b/>
          <w:sz w:val="16"/>
          <w:szCs w:val="16"/>
        </w:rPr>
        <w:t>нормативтік-құқықтық</w:t>
      </w:r>
      <w:proofErr w:type="spellEnd"/>
      <w:r w:rsidR="004C2F8D" w:rsidRPr="004C2F8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hAnsi="Times New Roman" w:cs="Times New Roman"/>
          <w:b/>
          <w:sz w:val="16"/>
          <w:szCs w:val="16"/>
        </w:rPr>
        <w:t>актілерге</w:t>
      </w:r>
      <w:proofErr w:type="spellEnd"/>
      <w:r w:rsidR="004C2F8D" w:rsidRPr="004C2F8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hAnsi="Times New Roman" w:cs="Times New Roman"/>
          <w:b/>
          <w:sz w:val="16"/>
          <w:szCs w:val="16"/>
        </w:rPr>
        <w:t>сәйкес</w:t>
      </w:r>
      <w:proofErr w:type="spellEnd"/>
      <w:r w:rsidR="004C2F8D" w:rsidRPr="004C2F8D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4C2F8D">
        <w:rPr>
          <w:rFonts w:ascii="Times New Roman" w:hAnsi="Times New Roman" w:cs="Times New Roman"/>
          <w:b/>
          <w:sz w:val="16"/>
          <w:szCs w:val="16"/>
          <w:lang w:val="kk-KZ"/>
        </w:rPr>
        <w:t>мына жағдайларда т</w:t>
      </w:r>
      <w:proofErr w:type="spellStart"/>
      <w:r w:rsidR="004C2F8D" w:rsidRPr="004C2F8D">
        <w:rPr>
          <w:rFonts w:ascii="Times New Roman" w:hAnsi="Times New Roman" w:cs="Times New Roman"/>
          <w:b/>
          <w:sz w:val="16"/>
          <w:szCs w:val="16"/>
        </w:rPr>
        <w:t>арифтер</w:t>
      </w:r>
      <w:proofErr w:type="spellEnd"/>
      <w:r w:rsidR="004C2F8D" w:rsidRPr="004C2F8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hAnsi="Times New Roman" w:cs="Times New Roman"/>
          <w:b/>
          <w:sz w:val="16"/>
          <w:szCs w:val="16"/>
        </w:rPr>
        <w:t>деңгейі</w:t>
      </w:r>
      <w:proofErr w:type="spellEnd"/>
      <w:r w:rsidR="004C2F8D" w:rsidRPr="004C2F8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hAnsi="Times New Roman" w:cs="Times New Roman"/>
          <w:b/>
          <w:sz w:val="16"/>
          <w:szCs w:val="16"/>
        </w:rPr>
        <w:t>өзгеруі</w:t>
      </w:r>
      <w:proofErr w:type="spellEnd"/>
      <w:r w:rsidR="004C2F8D" w:rsidRPr="004C2F8D">
        <w:rPr>
          <w:rFonts w:ascii="Times New Roman" w:hAnsi="Times New Roman" w:cs="Times New Roman"/>
          <w:b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hAnsi="Times New Roman" w:cs="Times New Roman"/>
          <w:b/>
          <w:sz w:val="16"/>
          <w:szCs w:val="16"/>
        </w:rPr>
        <w:t>мүмкін</w:t>
      </w:r>
      <w:proofErr w:type="spellEnd"/>
      <w:r w:rsidR="003B08EC" w:rsidRPr="003B08EC">
        <w:rPr>
          <w:rFonts w:ascii="Times New Roman" w:eastAsia="Calibri" w:hAnsi="Times New Roman" w:cs="Times New Roman"/>
          <w:bCs/>
          <w:sz w:val="16"/>
          <w:szCs w:val="16"/>
        </w:rPr>
        <w:t xml:space="preserve">: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стратегиялық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тауарлардың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және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(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немесе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)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мемлекеттік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реттеуге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жататын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стратегиялық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тауарларды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тасымалдауға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арналған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тарифтердің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(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бағалардың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)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құнын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өзгерту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;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Қазақстан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Республикасының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заңнамасына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сәйкес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төтенше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жағдайды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жариялау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;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Қазақстан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Республикасының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салық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заңнамасына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сәйкес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салық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және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бюджетке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төленетін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басқа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да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міндетті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төлемдер</w:t>
      </w:r>
      <w:proofErr w:type="spellEnd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r w:rsidR="004C2F8D">
        <w:rPr>
          <w:rFonts w:ascii="Times New Roman" w:eastAsia="Calibri" w:hAnsi="Times New Roman" w:cs="Times New Roman"/>
          <w:bCs/>
          <w:sz w:val="16"/>
          <w:szCs w:val="16"/>
          <w:lang w:val="kk-KZ"/>
        </w:rPr>
        <w:t>мөлшерлемелерін</w:t>
      </w:r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="004C2F8D" w:rsidRPr="004C2F8D">
        <w:rPr>
          <w:rFonts w:ascii="Times New Roman" w:eastAsia="Calibri" w:hAnsi="Times New Roman" w:cs="Times New Roman"/>
          <w:bCs/>
          <w:sz w:val="16"/>
          <w:szCs w:val="16"/>
        </w:rPr>
        <w:t>өзгерту</w:t>
      </w:r>
      <w:proofErr w:type="spellEnd"/>
      <w:r w:rsidR="004C2F8D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; </w:t>
      </w:r>
      <w:r w:rsidR="00385626" w:rsidRP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мемлекеттік бағдарламаларды іске асыруға байланысты бекітілген инвестициялық бағдарламаны өзгерту; ұсынылатын реттеліп көрсетілетін қызметтер көлемін ұлғайту; инвестициялық бағдарламаға оны азайту жағына түзетулер енгізілген жағдайда; халықаралық қаржы ұйымдарының қарыз қаражатын тартуға байланысты жаңа инвестициялық бағдарламаны іске асыру; субъектінің іс жүзіндегі шығындарын қысқарту; Қазақстан Республикасының Табиғи монополиялар туралы заңнамасына сәйкес субъектілер жүзеге асыратын қызметтің өзге түрлерінен </w:t>
      </w:r>
      <w:r w:rsid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>е</w:t>
      </w:r>
      <w:r w:rsidR="00385626" w:rsidRP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>леулі кірістер алу.</w:t>
      </w:r>
    </w:p>
    <w:p w:rsidR="00385626" w:rsidRDefault="00385626" w:rsidP="003B08EC">
      <w:pPr>
        <w:pStyle w:val="a3"/>
        <w:jc w:val="both"/>
        <w:rPr>
          <w:rFonts w:ascii="Times New Roman" w:eastAsia="Calibri" w:hAnsi="Times New Roman" w:cs="Times New Roman"/>
          <w:bCs/>
          <w:sz w:val="16"/>
          <w:szCs w:val="16"/>
          <w:lang w:val="kk-KZ"/>
        </w:rPr>
      </w:pPr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ҚР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Президентінің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тапсырмасын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және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тұрғын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үй-коммуналдық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шаруашылық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қызметтерінің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тарифтерін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төмендету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бойынша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ҚР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Үкіметінің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жүргізіп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отырған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жұмысын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орындау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үшін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"Алатау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Жарық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Компаниясы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" АҚ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әлеуметтік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маңызды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компания бола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отырып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,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бекітілген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инвестициялық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бағдарлама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және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2019ж.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тарифтік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смета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бойынша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шығындар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бөлігінде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қызметтің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реттелетін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түрін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ұсынуға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арналған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шығындарды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қайта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қарады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және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2019ж.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тарифтің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шекті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деңгейін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төмендетуге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уәкілетті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органға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тиісті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өтінімдер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жіберді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. "Алатау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Жарық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Компаниясы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" АҚ</w:t>
      </w:r>
      <w:r>
        <w:rPr>
          <w:rFonts w:ascii="Times New Roman" w:eastAsia="Calibri" w:hAnsi="Times New Roman" w:cs="Times New Roman"/>
          <w:bCs/>
          <w:sz w:val="16"/>
          <w:szCs w:val="16"/>
          <w:lang w:val="kk-KZ"/>
        </w:rPr>
        <w:t>-да</w:t>
      </w:r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2019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жылға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5,63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теңге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/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квтс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(ҚҚС-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сыз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)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мөлшерінде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тарифтің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шекті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деңгейі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 xml:space="preserve"> </w:t>
      </w:r>
      <w:proofErr w:type="spellStart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бекітілді</w:t>
      </w:r>
      <w:proofErr w:type="spellEnd"/>
      <w:r w:rsidRPr="00385626">
        <w:rPr>
          <w:rFonts w:ascii="Times New Roman" w:eastAsia="Calibri" w:hAnsi="Times New Roman" w:cs="Times New Roman"/>
          <w:bCs/>
          <w:sz w:val="16"/>
          <w:szCs w:val="16"/>
        </w:rPr>
        <w:t>.</w:t>
      </w:r>
    </w:p>
    <w:p w:rsidR="00F748FD" w:rsidRPr="00385626" w:rsidRDefault="003B08EC" w:rsidP="00F748FD">
      <w:pPr>
        <w:pStyle w:val="a3"/>
        <w:rPr>
          <w:sz w:val="16"/>
          <w:szCs w:val="16"/>
          <w:lang w:val="kk-KZ"/>
        </w:rPr>
      </w:pPr>
      <w:r w:rsidRPr="00385626">
        <w:rPr>
          <w:rFonts w:ascii="Times New Roman" w:eastAsia="Calibri" w:hAnsi="Times New Roman" w:cs="Times New Roman"/>
          <w:b/>
          <w:bCs/>
          <w:sz w:val="16"/>
          <w:szCs w:val="16"/>
          <w:lang w:val="kk-KZ"/>
        </w:rPr>
        <w:t xml:space="preserve">* </w:t>
      </w:r>
      <w:r w:rsidR="00385626">
        <w:rPr>
          <w:rFonts w:ascii="Times New Roman" w:eastAsia="Calibri" w:hAnsi="Times New Roman" w:cs="Times New Roman"/>
          <w:b/>
          <w:bCs/>
          <w:sz w:val="16"/>
          <w:szCs w:val="16"/>
          <w:lang w:val="kk-KZ"/>
        </w:rPr>
        <w:t xml:space="preserve">Өтемдеу тарифі ескеріле отырып, Уәкілетті орган бұйрығымен 2019 жылға арналып бекітілген тариф </w:t>
      </w:r>
      <w:r w:rsidRP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 5,34 те</w:t>
      </w:r>
      <w:r w:rsid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>ң</w:t>
      </w:r>
      <w:r w:rsidRP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>ге/кВт.</w:t>
      </w:r>
      <w:r w:rsid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>с</w:t>
      </w:r>
      <w:r w:rsidRP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>.</w:t>
      </w:r>
      <w:r w:rsid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 мөлшерінде қайта қаралды және бекітілді</w:t>
      </w:r>
      <w:r w:rsidRP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, </w:t>
      </w:r>
      <w:r w:rsid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оның әрекет ету мерзімі  7 ай, </w:t>
      </w:r>
      <w:r w:rsidRP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 01.01.2019</w:t>
      </w:r>
      <w:r w:rsid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>ж</w:t>
      </w:r>
      <w:r w:rsidRP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>.</w:t>
      </w:r>
      <w:r w:rsid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 бастап қарекетке енгізіледі</w:t>
      </w:r>
      <w:r w:rsidRP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 xml:space="preserve">. </w:t>
      </w:r>
      <w:r w:rsidR="00385626">
        <w:rPr>
          <w:rFonts w:ascii="Times New Roman" w:eastAsia="Calibri" w:hAnsi="Times New Roman" w:cs="Times New Roman"/>
          <w:bCs/>
          <w:sz w:val="16"/>
          <w:szCs w:val="16"/>
          <w:lang w:val="kk-KZ"/>
        </w:rPr>
        <w:t>Тиісінше  т</w:t>
      </w:r>
      <w:r w:rsidRP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ариф  01.01.2019</w:t>
      </w:r>
      <w:r w:rsid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ж</w:t>
      </w:r>
      <w:r w:rsidRP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.</w:t>
      </w:r>
      <w:r w:rsid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 xml:space="preserve"> бастап</w:t>
      </w:r>
      <w:r w:rsidRP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 xml:space="preserve"> 31.07.2019</w:t>
      </w:r>
      <w:r w:rsid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ж</w:t>
      </w:r>
      <w:r w:rsidRP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.</w:t>
      </w:r>
      <w:r w:rsid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 xml:space="preserve"> дейін</w:t>
      </w:r>
      <w:r w:rsidRP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 xml:space="preserve"> – 5,34 те</w:t>
      </w:r>
      <w:r w:rsid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ң</w:t>
      </w:r>
      <w:r w:rsidRP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ге/кВт.</w:t>
      </w:r>
      <w:r w:rsid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с</w:t>
      </w:r>
      <w:r w:rsidR="00385626" w:rsidRP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 xml:space="preserve"> (</w:t>
      </w:r>
      <w:r w:rsid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ҚҚС-сыз</w:t>
      </w:r>
      <w:r w:rsidRP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), 01.08.2019</w:t>
      </w:r>
      <w:r w:rsid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ж. бастап</w:t>
      </w:r>
      <w:r w:rsidRP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 xml:space="preserve"> 31.12.2019</w:t>
      </w:r>
      <w:r w:rsid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ж</w:t>
      </w:r>
      <w:r w:rsidRP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.</w:t>
      </w:r>
      <w:r w:rsid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 xml:space="preserve"> дейін</w:t>
      </w:r>
      <w:r w:rsidRP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 xml:space="preserve"> – 5,63 те</w:t>
      </w:r>
      <w:r w:rsid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ң</w:t>
      </w:r>
      <w:r w:rsidRP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ге/кВт.</w:t>
      </w:r>
      <w:r w:rsid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>с</w:t>
      </w:r>
      <w:r w:rsidR="00D5045F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 xml:space="preserve"> (ҚҚС-сыз)</w:t>
      </w:r>
      <w:r w:rsidRPr="00385626">
        <w:rPr>
          <w:rFonts w:ascii="Times New Roman" w:eastAsia="Calibri" w:hAnsi="Times New Roman" w:cs="Times New Roman"/>
          <w:bCs/>
          <w:i/>
          <w:iCs/>
          <w:sz w:val="16"/>
          <w:szCs w:val="16"/>
          <w:lang w:val="kk-KZ"/>
        </w:rPr>
        <w:t xml:space="preserve"> </w:t>
      </w:r>
    </w:p>
    <w:sectPr w:rsidR="00F748FD" w:rsidRPr="00385626" w:rsidSect="00BB37FE">
      <w:pgSz w:w="16838" w:h="11906" w:orient="landscape"/>
      <w:pgMar w:top="568" w:right="1134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A2F56"/>
    <w:multiLevelType w:val="hybridMultilevel"/>
    <w:tmpl w:val="4B0450FE"/>
    <w:lvl w:ilvl="0" w:tplc="0419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">
    <w:nsid w:val="09A40453"/>
    <w:multiLevelType w:val="hybridMultilevel"/>
    <w:tmpl w:val="0F5A521C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0F388F"/>
    <w:multiLevelType w:val="hybridMultilevel"/>
    <w:tmpl w:val="14521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0523108"/>
    <w:multiLevelType w:val="hybridMultilevel"/>
    <w:tmpl w:val="965CB7B0"/>
    <w:lvl w:ilvl="0" w:tplc="04190001">
      <w:start w:val="1"/>
      <w:numFmt w:val="bullet"/>
      <w:lvlText w:val=""/>
      <w:lvlJc w:val="left"/>
      <w:pPr>
        <w:ind w:left="9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357A"/>
    <w:multiLevelType w:val="hybridMultilevel"/>
    <w:tmpl w:val="B386C5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A263DB"/>
    <w:multiLevelType w:val="hybridMultilevel"/>
    <w:tmpl w:val="065A2C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102C09"/>
    <w:multiLevelType w:val="hybridMultilevel"/>
    <w:tmpl w:val="07F81270"/>
    <w:lvl w:ilvl="0" w:tplc="97B8E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C82252B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612A4D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37E16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44058A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C98AD8C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868BF8E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3000F5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FE4D8C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7">
    <w:nsid w:val="33707EE2"/>
    <w:multiLevelType w:val="hybridMultilevel"/>
    <w:tmpl w:val="D6F2ADD8"/>
    <w:lvl w:ilvl="0" w:tplc="AC7226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862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9868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B4BB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9895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4027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34A0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FB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084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9B0577"/>
    <w:multiLevelType w:val="hybridMultilevel"/>
    <w:tmpl w:val="B57A895E"/>
    <w:lvl w:ilvl="0" w:tplc="7222E95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D67B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48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25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B003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29C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A201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1ED9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CEF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665545"/>
    <w:multiLevelType w:val="hybridMultilevel"/>
    <w:tmpl w:val="0A363C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51D1A"/>
    <w:multiLevelType w:val="hybridMultilevel"/>
    <w:tmpl w:val="2A4ADF56"/>
    <w:lvl w:ilvl="0" w:tplc="7396AA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F3A42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6AA3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4DE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1002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500A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60E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4AFEE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DEB2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E17D9"/>
    <w:multiLevelType w:val="hybridMultilevel"/>
    <w:tmpl w:val="4FAE2D00"/>
    <w:lvl w:ilvl="0" w:tplc="D786E20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7FC3518"/>
    <w:multiLevelType w:val="hybridMultilevel"/>
    <w:tmpl w:val="52060342"/>
    <w:lvl w:ilvl="0" w:tplc="742C36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4C03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E0B9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44AF2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F46B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E8E2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E18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86B3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E855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170635"/>
    <w:multiLevelType w:val="hybridMultilevel"/>
    <w:tmpl w:val="B7D4F2AE"/>
    <w:lvl w:ilvl="0" w:tplc="ADD2F7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5AEE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0EB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30DF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7011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4C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FC2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6891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B65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81A0C3B"/>
    <w:multiLevelType w:val="multilevel"/>
    <w:tmpl w:val="1D209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>
    <w:nsid w:val="75516697"/>
    <w:multiLevelType w:val="hybridMultilevel"/>
    <w:tmpl w:val="F3F252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5DF31C9"/>
    <w:multiLevelType w:val="hybridMultilevel"/>
    <w:tmpl w:val="62EC83BE"/>
    <w:lvl w:ilvl="0" w:tplc="8D661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8E9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C21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64C5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2EF4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D8D2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96D7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8F21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8A99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3"/>
  </w:num>
  <w:num w:numId="5">
    <w:abstractNumId w:val="2"/>
  </w:num>
  <w:num w:numId="6">
    <w:abstractNumId w:val="0"/>
  </w:num>
  <w:num w:numId="7">
    <w:abstractNumId w:val="13"/>
  </w:num>
  <w:num w:numId="8">
    <w:abstractNumId w:val="11"/>
  </w:num>
  <w:num w:numId="9">
    <w:abstractNumId w:val="1"/>
  </w:num>
  <w:num w:numId="10">
    <w:abstractNumId w:val="4"/>
  </w:num>
  <w:num w:numId="11">
    <w:abstractNumId w:val="15"/>
  </w:num>
  <w:num w:numId="12">
    <w:abstractNumId w:val="6"/>
  </w:num>
  <w:num w:numId="13">
    <w:abstractNumId w:val="5"/>
  </w:num>
  <w:num w:numId="14">
    <w:abstractNumId w:val="8"/>
  </w:num>
  <w:num w:numId="15">
    <w:abstractNumId w:val="4"/>
  </w:num>
  <w:num w:numId="16">
    <w:abstractNumId w:val="10"/>
  </w:num>
  <w:num w:numId="17">
    <w:abstractNumId w:val="1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EEE"/>
    <w:rsid w:val="00021401"/>
    <w:rsid w:val="0002220B"/>
    <w:rsid w:val="00025FB9"/>
    <w:rsid w:val="00040AAA"/>
    <w:rsid w:val="0007207F"/>
    <w:rsid w:val="00081528"/>
    <w:rsid w:val="000D31A6"/>
    <w:rsid w:val="000F1193"/>
    <w:rsid w:val="0017599E"/>
    <w:rsid w:val="00197577"/>
    <w:rsid w:val="001A4A55"/>
    <w:rsid w:val="00200653"/>
    <w:rsid w:val="0027688F"/>
    <w:rsid w:val="002A5F05"/>
    <w:rsid w:val="002C2BD5"/>
    <w:rsid w:val="002F7EB7"/>
    <w:rsid w:val="0032322B"/>
    <w:rsid w:val="003337E9"/>
    <w:rsid w:val="003511E0"/>
    <w:rsid w:val="00385626"/>
    <w:rsid w:val="003978FF"/>
    <w:rsid w:val="003B08EC"/>
    <w:rsid w:val="003B264D"/>
    <w:rsid w:val="0045674E"/>
    <w:rsid w:val="004818FF"/>
    <w:rsid w:val="004B29FF"/>
    <w:rsid w:val="004C2F8D"/>
    <w:rsid w:val="004D4A07"/>
    <w:rsid w:val="004E76EC"/>
    <w:rsid w:val="00505B49"/>
    <w:rsid w:val="005172F5"/>
    <w:rsid w:val="00582478"/>
    <w:rsid w:val="005A7EC2"/>
    <w:rsid w:val="0060061C"/>
    <w:rsid w:val="00640EE8"/>
    <w:rsid w:val="00665D50"/>
    <w:rsid w:val="00672047"/>
    <w:rsid w:val="00686B2A"/>
    <w:rsid w:val="006E0958"/>
    <w:rsid w:val="006E6A64"/>
    <w:rsid w:val="00754858"/>
    <w:rsid w:val="007613AB"/>
    <w:rsid w:val="007A3A95"/>
    <w:rsid w:val="007B7EEE"/>
    <w:rsid w:val="007D40AB"/>
    <w:rsid w:val="007E0D68"/>
    <w:rsid w:val="007F716C"/>
    <w:rsid w:val="00853C76"/>
    <w:rsid w:val="00882C50"/>
    <w:rsid w:val="00916978"/>
    <w:rsid w:val="00966493"/>
    <w:rsid w:val="009824B4"/>
    <w:rsid w:val="009A6EB1"/>
    <w:rsid w:val="009B48BB"/>
    <w:rsid w:val="00A04D27"/>
    <w:rsid w:val="00A232F5"/>
    <w:rsid w:val="00A2336A"/>
    <w:rsid w:val="00A46CDE"/>
    <w:rsid w:val="00A557B2"/>
    <w:rsid w:val="00A614D3"/>
    <w:rsid w:val="00AD7E48"/>
    <w:rsid w:val="00B2004A"/>
    <w:rsid w:val="00B41DAD"/>
    <w:rsid w:val="00B47B16"/>
    <w:rsid w:val="00BB37FE"/>
    <w:rsid w:val="00C629B2"/>
    <w:rsid w:val="00C8293C"/>
    <w:rsid w:val="00C94F8F"/>
    <w:rsid w:val="00CB2904"/>
    <w:rsid w:val="00CB5AF5"/>
    <w:rsid w:val="00CF2CE3"/>
    <w:rsid w:val="00D5045F"/>
    <w:rsid w:val="00D72ADD"/>
    <w:rsid w:val="00D75E31"/>
    <w:rsid w:val="00D8575A"/>
    <w:rsid w:val="00D86983"/>
    <w:rsid w:val="00D86AED"/>
    <w:rsid w:val="00DD02DF"/>
    <w:rsid w:val="00DF57A4"/>
    <w:rsid w:val="00E202D8"/>
    <w:rsid w:val="00E61B1C"/>
    <w:rsid w:val="00ED2F6E"/>
    <w:rsid w:val="00ED466A"/>
    <w:rsid w:val="00F65C65"/>
    <w:rsid w:val="00F748FD"/>
    <w:rsid w:val="00F938DC"/>
    <w:rsid w:val="00F9565B"/>
    <w:rsid w:val="00FA4EA2"/>
    <w:rsid w:val="00FB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8E4EE-E6E3-47BF-86DA-EEB20B5B2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rsid w:val="007B7EE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7B7EEE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7B7EE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7B7EEE"/>
  </w:style>
  <w:style w:type="paragraph" w:styleId="a5">
    <w:name w:val="Normal (Web)"/>
    <w:basedOn w:val="a"/>
    <w:uiPriority w:val="99"/>
    <w:unhideWhenUsed/>
    <w:rsid w:val="00F74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757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97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78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4167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42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109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549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33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9851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93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9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6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3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2465</Words>
  <Characters>14055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Молдахметова Айнур</dc:creator>
  <cp:lastModifiedBy>Шахметова Асима</cp:lastModifiedBy>
  <cp:revision>2</cp:revision>
  <cp:lastPrinted>2019-07-29T04:50:00Z</cp:lastPrinted>
  <dcterms:created xsi:type="dcterms:W3CDTF">2019-07-31T06:18:00Z</dcterms:created>
  <dcterms:modified xsi:type="dcterms:W3CDTF">2019-07-31T06:18:00Z</dcterms:modified>
</cp:coreProperties>
</file>